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942B67" w:rsidP="003C5278">
      <w:pPr>
        <w:suppressAutoHyphens/>
        <w:ind w:left="5760"/>
        <w:rPr>
          <w:b/>
          <w:sz w:val="22"/>
          <w:szCs w:val="22"/>
        </w:rPr>
      </w:pPr>
      <w:bookmarkStart w:id="0" w:name="_GoBack"/>
      <w:bookmarkEnd w:id="0"/>
      <w:r>
        <w:rPr>
          <w:b/>
          <w:sz w:val="22"/>
          <w:szCs w:val="22"/>
        </w:rPr>
        <w:t>State</w:t>
      </w: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942B67" w:rsidP="00B6794F">
            <w:pPr>
              <w:tabs>
                <w:tab w:val="left" w:pos="630"/>
              </w:tabs>
              <w:spacing w:after="120"/>
              <w:rPr>
                <w:iCs/>
                <w:color w:val="000000"/>
                <w:sz w:val="22"/>
                <w:szCs w:val="22"/>
              </w:rPr>
            </w:pPr>
            <w:r>
              <w:rPr>
                <w:iCs/>
                <w:color w:val="000000"/>
                <w:sz w:val="22"/>
                <w:szCs w:val="22"/>
              </w:rPr>
              <w:t>State of Connecticut</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942B67" w:rsidP="00F87B4F">
            <w:pPr>
              <w:tabs>
                <w:tab w:val="left" w:pos="630"/>
              </w:tabs>
              <w:spacing w:after="120"/>
              <w:rPr>
                <w:iCs/>
                <w:color w:val="000000"/>
                <w:sz w:val="22"/>
                <w:szCs w:val="22"/>
              </w:rPr>
            </w:pPr>
            <w:r>
              <w:rPr>
                <w:iCs/>
                <w:color w:val="000000"/>
                <w:sz w:val="22"/>
                <w:szCs w:val="22"/>
              </w:rPr>
              <w:t>Carey Thompson</w:t>
            </w:r>
          </w:p>
        </w:tc>
        <w:tc>
          <w:tcPr>
            <w:tcW w:w="2811" w:type="dxa"/>
          </w:tcPr>
          <w:p w:rsidR="00B97CF0" w:rsidRPr="00B75AAC" w:rsidRDefault="003A224C" w:rsidP="00F87B4F">
            <w:pPr>
              <w:tabs>
                <w:tab w:val="left" w:pos="630"/>
              </w:tabs>
              <w:spacing w:after="120"/>
              <w:rPr>
                <w:iCs/>
                <w:color w:val="000000"/>
                <w:sz w:val="22"/>
                <w:szCs w:val="22"/>
              </w:rPr>
            </w:pPr>
            <w:r>
              <w:rPr>
                <w:iCs/>
                <w:color w:val="000000"/>
                <w:sz w:val="22"/>
                <w:szCs w:val="22"/>
              </w:rPr>
              <w:t>Grants and Contracts Specialist</w:t>
            </w:r>
          </w:p>
        </w:tc>
        <w:tc>
          <w:tcPr>
            <w:tcW w:w="3362" w:type="dxa"/>
          </w:tcPr>
          <w:p w:rsidR="00B97CF0" w:rsidRPr="00B75AAC" w:rsidRDefault="00942B67" w:rsidP="00F87B4F">
            <w:pPr>
              <w:tabs>
                <w:tab w:val="left" w:pos="630"/>
              </w:tabs>
              <w:spacing w:after="120"/>
              <w:rPr>
                <w:iCs/>
                <w:color w:val="000000"/>
                <w:sz w:val="22"/>
                <w:szCs w:val="22"/>
              </w:rPr>
            </w:pPr>
            <w:r>
              <w:rPr>
                <w:iCs/>
                <w:color w:val="000000"/>
                <w:sz w:val="22"/>
                <w:szCs w:val="22"/>
              </w:rPr>
              <w:t>Dept. of Emergency</w:t>
            </w:r>
            <w:r w:rsidR="003A224C">
              <w:rPr>
                <w:iCs/>
                <w:color w:val="000000"/>
                <w:sz w:val="22"/>
                <w:szCs w:val="22"/>
              </w:rPr>
              <w:t xml:space="preserve"> Services and Public Protection, Division of Statewi</w:t>
            </w:r>
            <w:r w:rsidR="00F81049">
              <w:rPr>
                <w:iCs/>
                <w:color w:val="000000"/>
                <w:sz w:val="22"/>
                <w:szCs w:val="22"/>
              </w:rPr>
              <w:t>de Emergency Telecommunications</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3A224C" w:rsidP="003A224C">
            <w:pPr>
              <w:tabs>
                <w:tab w:val="left" w:pos="630"/>
              </w:tabs>
              <w:spacing w:after="120"/>
              <w:rPr>
                <w:iCs/>
                <w:color w:val="000000"/>
                <w:sz w:val="22"/>
                <w:szCs w:val="22"/>
              </w:rPr>
            </w:pPr>
            <w:r>
              <w:rPr>
                <w:iCs/>
                <w:color w:val="000000"/>
                <w:sz w:val="22"/>
                <w:szCs w:val="22"/>
              </w:rPr>
              <w:t>105</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3A224C" w:rsidP="00B97CF0">
            <w:pPr>
              <w:tabs>
                <w:tab w:val="left" w:pos="630"/>
              </w:tabs>
              <w:spacing w:after="120"/>
              <w:rPr>
                <w:iCs/>
                <w:color w:val="000000"/>
                <w:sz w:val="22"/>
                <w:szCs w:val="22"/>
              </w:rPr>
            </w:pPr>
            <w:r>
              <w:rPr>
                <w:iCs/>
                <w:color w:val="000000"/>
                <w:sz w:val="22"/>
                <w:szCs w:val="22"/>
              </w:rPr>
              <w:t xml:space="preserve">  4</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3A224C" w:rsidP="00B97CF0">
            <w:pPr>
              <w:tabs>
                <w:tab w:val="left" w:pos="630"/>
              </w:tabs>
              <w:spacing w:after="120"/>
              <w:rPr>
                <w:iCs/>
                <w:color w:val="000000"/>
                <w:sz w:val="22"/>
                <w:szCs w:val="22"/>
              </w:rPr>
            </w:pPr>
            <w:r>
              <w:rPr>
                <w:iCs/>
                <w:color w:val="000000"/>
                <w:sz w:val="22"/>
                <w:szCs w:val="22"/>
              </w:rPr>
              <w:t>109</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A224C" w:rsidP="003A224C">
            <w:pPr>
              <w:tabs>
                <w:tab w:val="left" w:pos="630"/>
              </w:tabs>
              <w:spacing w:after="120"/>
              <w:jc w:val="center"/>
              <w:rPr>
                <w:iCs/>
                <w:color w:val="000000"/>
                <w:sz w:val="22"/>
                <w:szCs w:val="22"/>
              </w:rPr>
            </w:pPr>
            <w:r>
              <w:rPr>
                <w:iCs/>
                <w:color w:val="000000"/>
                <w:sz w:val="22"/>
                <w:szCs w:val="22"/>
              </w:rPr>
              <w:t xml:space="preserve">In accordance with the General Statutes of Connecticut Sec. 28-30a., E911 funds may be used for operational costs, including salaries, for the provision of emergency telecommunications. The number of E911 funded telecommunications is unknown. </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A224C" w:rsidP="000170FA">
            <w:pPr>
              <w:tabs>
                <w:tab w:val="left" w:pos="630"/>
              </w:tabs>
              <w:spacing w:after="120"/>
              <w:rPr>
                <w:iCs/>
                <w:color w:val="000000"/>
                <w:sz w:val="22"/>
                <w:szCs w:val="22"/>
              </w:rPr>
            </w:pPr>
            <w:r>
              <w:rPr>
                <w:iCs/>
                <w:color w:val="000000"/>
                <w:sz w:val="22"/>
                <w:szCs w:val="22"/>
              </w:rPr>
              <w:t>Same as abo</w:t>
            </w:r>
            <w:r w:rsidR="000170FA">
              <w:rPr>
                <w:iCs/>
                <w:color w:val="000000"/>
                <w:sz w:val="22"/>
                <w:szCs w:val="22"/>
              </w:rPr>
              <w:t>v</w:t>
            </w:r>
            <w:r>
              <w:rPr>
                <w:iCs/>
                <w:color w:val="000000"/>
                <w:sz w:val="22"/>
                <w:szCs w:val="22"/>
              </w:rPr>
              <w:t>e</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6A61B0" w:rsidRPr="00C83509" w:rsidRDefault="00C83509" w:rsidP="006A61B0">
            <w:pPr>
              <w:jc w:val="center"/>
              <w:rPr>
                <w:rFonts w:ascii="Arial" w:hAnsi="Arial" w:cs="Arial"/>
                <w:b/>
                <w:bCs/>
                <w:sz w:val="24"/>
                <w:szCs w:val="24"/>
              </w:rPr>
            </w:pPr>
            <w:r w:rsidRPr="00C83509">
              <w:rPr>
                <w:rFonts w:ascii="Arial" w:hAnsi="Arial" w:cs="Arial"/>
                <w:b/>
                <w:bCs/>
                <w:sz w:val="24"/>
                <w:szCs w:val="24"/>
              </w:rPr>
              <w:t>$28,795,684.00</w:t>
            </w:r>
          </w:p>
          <w:p w:rsidR="00C83509" w:rsidRPr="003A224C" w:rsidRDefault="00C83509" w:rsidP="006A61B0">
            <w:pPr>
              <w:jc w:val="center"/>
              <w:rPr>
                <w:rFonts w:ascii="Arial" w:hAnsi="Arial" w:cs="Arial"/>
                <w:b/>
                <w:bCs/>
                <w:sz w:val="24"/>
                <w:szCs w:val="24"/>
                <w:highlight w:val="yellow"/>
              </w:rPr>
            </w:pPr>
          </w:p>
          <w:p w:rsidR="00162296" w:rsidRPr="003A224C" w:rsidRDefault="00162296" w:rsidP="003A224C">
            <w:pPr>
              <w:spacing w:after="120"/>
              <w:rPr>
                <w:iCs/>
                <w:color w:val="000000"/>
                <w:sz w:val="22"/>
                <w:szCs w:val="22"/>
                <w:highlight w:val="yellow"/>
              </w:rPr>
            </w:pPr>
          </w:p>
        </w:tc>
      </w:tr>
    </w:tbl>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942B67" w:rsidP="00B75AAC">
            <w:pPr>
              <w:pStyle w:val="NoSpacing"/>
              <w:rPr>
                <w:rFonts w:ascii="Times New Roman" w:hAnsi="Times New Roman" w:cs="Times New Roman"/>
              </w:rPr>
            </w:pPr>
            <w:r>
              <w:rPr>
                <w:rFonts w:ascii="Times New Roman" w:hAnsi="Times New Roman" w:cs="Times New Roman"/>
              </w:rPr>
              <w:t>336,684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FD7D4F" w:rsidP="00B75AAC">
            <w:pPr>
              <w:pStyle w:val="NoSpacing"/>
              <w:rPr>
                <w:rFonts w:ascii="Times New Roman" w:hAnsi="Times New Roman" w:cs="Times New Roman"/>
              </w:rPr>
            </w:pPr>
            <w:r>
              <w:rPr>
                <w:rFonts w:ascii="Times New Roman" w:hAnsi="Times New Roman" w:cs="Times New Roman"/>
              </w:rPr>
              <w:t>1,750,869</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FD7D4F" w:rsidP="00B75AAC">
            <w:pPr>
              <w:pStyle w:val="NoSpacing"/>
              <w:rPr>
                <w:rFonts w:ascii="Times New Roman" w:hAnsi="Times New Roman" w:cs="Times New Roman"/>
              </w:rPr>
            </w:pPr>
            <w:r>
              <w:rPr>
                <w:rFonts w:ascii="Times New Roman" w:hAnsi="Times New Roman" w:cs="Times New Roman"/>
              </w:rPr>
              <w:t>132,911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FD7D4F" w:rsidP="00B75AAC">
            <w:pPr>
              <w:pStyle w:val="NoSpacing"/>
              <w:rPr>
                <w:rFonts w:ascii="Times New Roman" w:hAnsi="Times New Roman" w:cs="Times New Roman"/>
              </w:rPr>
            </w:pPr>
            <w:r>
              <w:rPr>
                <w:rFonts w:ascii="Times New Roman" w:hAnsi="Times New Roman" w:cs="Times New Roman"/>
              </w:rPr>
              <w:t>2,220,464</w:t>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FD7D4F">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FD7D4F">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00FD7D4F">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Default="00CF1212" w:rsidP="00904848">
            <w:pPr>
              <w:spacing w:after="120"/>
              <w:rPr>
                <w:sz w:val="22"/>
                <w:szCs w:val="22"/>
              </w:rPr>
            </w:pPr>
          </w:p>
          <w:p w:rsidR="00FD7D4F" w:rsidRPr="00B75AAC" w:rsidRDefault="00FD7D4F" w:rsidP="00904848">
            <w:pPr>
              <w:spacing w:after="120"/>
              <w:rPr>
                <w:sz w:val="22"/>
                <w:szCs w:val="22"/>
              </w:rPr>
            </w:pPr>
            <w:r>
              <w:rPr>
                <w:sz w:val="22"/>
                <w:szCs w:val="22"/>
              </w:rPr>
              <w:t>General Statutes of Connecticut Sec. 28-30a. Enhanced 9-1-1</w:t>
            </w:r>
            <w:r w:rsidR="003A224C">
              <w:rPr>
                <w:sz w:val="22"/>
                <w:szCs w:val="22"/>
              </w:rPr>
              <w:t xml:space="preserve"> Telecommunications</w:t>
            </w:r>
            <w:r>
              <w:rPr>
                <w:sz w:val="22"/>
                <w:szCs w:val="22"/>
              </w:rPr>
              <w:t xml:space="preserve"> Fund. </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FD7D4F" w:rsidP="00827360">
            <w:pPr>
              <w:tabs>
                <w:tab w:val="left" w:pos="630"/>
              </w:tabs>
              <w:spacing w:after="120"/>
              <w:rPr>
                <w:sz w:val="22"/>
                <w:szCs w:val="22"/>
              </w:rPr>
            </w:pPr>
            <w:r>
              <w:rPr>
                <w:sz w:val="22"/>
                <w:szCs w:val="22"/>
              </w:rPr>
              <w:t xml:space="preserve">No </w:t>
            </w: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D7D4F">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FD7D4F">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00FD7D4F">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FD7D4F" w:rsidP="00070322">
            <w:pPr>
              <w:spacing w:after="120"/>
              <w:rPr>
                <w:iCs/>
                <w:color w:val="000000"/>
                <w:sz w:val="22"/>
                <w:szCs w:val="22"/>
              </w:rPr>
            </w:pPr>
            <w:r>
              <w:rPr>
                <w:iCs/>
                <w:color w:val="000000"/>
                <w:sz w:val="22"/>
                <w:szCs w:val="22"/>
              </w:rPr>
              <w:t xml:space="preserve">Funds are remitted to the State by </w:t>
            </w:r>
            <w:r w:rsidR="008659E2">
              <w:rPr>
                <w:iCs/>
                <w:color w:val="000000"/>
                <w:sz w:val="22"/>
                <w:szCs w:val="22"/>
              </w:rPr>
              <w:t>the carriers</w:t>
            </w:r>
            <w:r w:rsidR="003A224C">
              <w:rPr>
                <w:iCs/>
                <w:color w:val="000000"/>
                <w:sz w:val="22"/>
                <w:szCs w:val="22"/>
              </w:rPr>
              <w:t xml:space="preserve">. </w:t>
            </w:r>
            <w:r>
              <w:rPr>
                <w:iCs/>
                <w:color w:val="000000"/>
                <w:sz w:val="22"/>
                <w:szCs w:val="22"/>
              </w:rPr>
              <w:t xml:space="preserve"> </w:t>
            </w:r>
            <w:r w:rsidR="003A224C">
              <w:rPr>
                <w:iCs/>
                <w:color w:val="000000"/>
                <w:sz w:val="22"/>
                <w:szCs w:val="22"/>
              </w:rPr>
              <w:t>The</w:t>
            </w:r>
            <w:r>
              <w:rPr>
                <w:iCs/>
                <w:color w:val="000000"/>
                <w:sz w:val="22"/>
                <w:szCs w:val="22"/>
              </w:rPr>
              <w:t xml:space="preserve"> Division of Statewide Emergency telecommunications provides various grants, subsidies and funding to municipal</w:t>
            </w:r>
            <w:r w:rsidR="003A224C">
              <w:rPr>
                <w:iCs/>
                <w:color w:val="000000"/>
                <w:sz w:val="22"/>
                <w:szCs w:val="22"/>
              </w:rPr>
              <w:t>, regional and multi-town PSAPs</w:t>
            </w:r>
            <w:r w:rsidR="00293931">
              <w:rPr>
                <w:iCs/>
                <w:color w:val="000000"/>
                <w:sz w:val="22"/>
                <w:szCs w:val="22"/>
              </w:rPr>
              <w:t xml:space="preserve">. Each PSAP is eligible for </w:t>
            </w:r>
            <w:r w:rsidR="003A224C">
              <w:rPr>
                <w:iCs/>
                <w:color w:val="000000"/>
                <w:sz w:val="22"/>
                <w:szCs w:val="22"/>
              </w:rPr>
              <w:t>training funds</w:t>
            </w:r>
            <w:r w:rsidR="00293931">
              <w:rPr>
                <w:iCs/>
                <w:color w:val="000000"/>
                <w:sz w:val="22"/>
                <w:szCs w:val="22"/>
              </w:rPr>
              <w:t>,</w:t>
            </w:r>
            <w:r w:rsidR="003A224C">
              <w:rPr>
                <w:iCs/>
                <w:color w:val="000000"/>
                <w:sz w:val="22"/>
                <w:szCs w:val="22"/>
              </w:rPr>
              <w:t xml:space="preserve"> to provide educational opportunities for tele-communicators. </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FD7D4F"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D7D4F">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D7D4F">
        <w:rPr>
          <w:rFonts w:ascii="Times New Roman" w:hAnsi="Times New Roman" w:cs="Times New Roman"/>
          <w:b w:val="0"/>
          <w:noProof w:val="0"/>
          <w:sz w:val="22"/>
          <w:szCs w:val="22"/>
        </w:rPr>
        <w:instrText xml:space="preserve"> FORMCHECKBOX </w:instrText>
      </w:r>
      <w:r w:rsidR="00101F0A">
        <w:rPr>
          <w:rFonts w:ascii="Times New Roman" w:hAnsi="Times New Roman" w:cs="Times New Roman"/>
          <w:b w:val="0"/>
          <w:noProof w:val="0"/>
          <w:sz w:val="22"/>
          <w:szCs w:val="22"/>
        </w:rPr>
      </w:r>
      <w:r w:rsidR="00101F0A">
        <w:rPr>
          <w:rFonts w:ascii="Times New Roman" w:hAnsi="Times New Roman" w:cs="Times New Roman"/>
          <w:b w:val="0"/>
          <w:noProof w:val="0"/>
          <w:sz w:val="22"/>
          <w:szCs w:val="22"/>
        </w:rPr>
        <w:fldChar w:fldCharType="separate"/>
      </w:r>
      <w:r w:rsidR="00FD7D4F">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FD7D4F" w:rsidP="00070322">
            <w:pPr>
              <w:spacing w:after="120"/>
              <w:rPr>
                <w:iCs/>
                <w:color w:val="000000"/>
                <w:sz w:val="22"/>
                <w:szCs w:val="22"/>
              </w:rPr>
            </w:pPr>
            <w:r>
              <w:rPr>
                <w:iCs/>
                <w:color w:val="000000"/>
                <w:sz w:val="22"/>
                <w:szCs w:val="22"/>
              </w:rPr>
              <w:t>General Statutes of Connecticut Sec. 28-30a. Enhanced 9-1-1 Telecommunications Fund.</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FD7D4F" w:rsidRDefault="00C769C3" w:rsidP="00C769C3">
      <w:pPr>
        <w:spacing w:after="120"/>
        <w:rPr>
          <w:iCs/>
          <w:color w:val="000000"/>
          <w:sz w:val="32"/>
          <w:szCs w:val="32"/>
        </w:rPr>
      </w:pPr>
    </w:p>
    <w:tbl>
      <w:tblPr>
        <w:tblStyle w:val="TableGrid"/>
        <w:tblW w:w="0" w:type="auto"/>
        <w:jc w:val="center"/>
        <w:tblLook w:val="04A0" w:firstRow="1" w:lastRow="0" w:firstColumn="1" w:lastColumn="0" w:noHBand="0" w:noVBand="1"/>
      </w:tblPr>
      <w:tblGrid>
        <w:gridCol w:w="9576"/>
      </w:tblGrid>
      <w:tr w:rsidR="00C769C3" w:rsidRPr="00FD7D4F" w:rsidTr="00070322">
        <w:trPr>
          <w:jc w:val="center"/>
        </w:trPr>
        <w:tc>
          <w:tcPr>
            <w:tcW w:w="9576" w:type="dxa"/>
          </w:tcPr>
          <w:p w:rsidR="00C769C3" w:rsidRPr="00FD7D4F" w:rsidRDefault="00C769C3" w:rsidP="00070322">
            <w:pPr>
              <w:spacing w:after="120"/>
              <w:rPr>
                <w:iCs/>
                <w:color w:val="000000"/>
                <w:sz w:val="32"/>
                <w:szCs w:val="32"/>
              </w:rPr>
            </w:pPr>
          </w:p>
          <w:p w:rsidR="00FD7D4F" w:rsidRPr="00237149" w:rsidRDefault="00FD7D4F" w:rsidP="00070322">
            <w:pPr>
              <w:spacing w:after="120"/>
              <w:rPr>
                <w:iCs/>
                <w:color w:val="000000"/>
                <w:sz w:val="24"/>
                <w:szCs w:val="24"/>
              </w:rPr>
            </w:pPr>
            <w:r w:rsidRPr="00237149">
              <w:rPr>
                <w:iCs/>
                <w:color w:val="000000"/>
                <w:sz w:val="24"/>
                <w:szCs w:val="24"/>
              </w:rPr>
              <w:t>9-1-1 Funds provide for the following</w:t>
            </w:r>
            <w:r w:rsidR="00B6368F" w:rsidRPr="00237149">
              <w:rPr>
                <w:iCs/>
                <w:color w:val="000000"/>
                <w:sz w:val="24"/>
                <w:szCs w:val="24"/>
              </w:rPr>
              <w:t>:</w:t>
            </w:r>
          </w:p>
          <w:p w:rsidR="00FF1EC3" w:rsidRDefault="00FD7D4F" w:rsidP="00070322">
            <w:pPr>
              <w:spacing w:after="120"/>
              <w:rPr>
                <w:iCs/>
                <w:color w:val="000000"/>
                <w:sz w:val="24"/>
                <w:szCs w:val="24"/>
              </w:rPr>
            </w:pPr>
            <w:r w:rsidRPr="00237149">
              <w:rPr>
                <w:iCs/>
                <w:color w:val="000000"/>
                <w:sz w:val="24"/>
                <w:szCs w:val="24"/>
              </w:rPr>
              <w:t>NG 911 Equipment; including 91</w:t>
            </w:r>
            <w:r w:rsidR="00FF1EC3">
              <w:rPr>
                <w:iCs/>
                <w:color w:val="000000"/>
                <w:sz w:val="24"/>
                <w:szCs w:val="24"/>
              </w:rPr>
              <w:t>1</w:t>
            </w:r>
            <w:r w:rsidRPr="00237149">
              <w:rPr>
                <w:iCs/>
                <w:color w:val="000000"/>
                <w:sz w:val="24"/>
                <w:szCs w:val="24"/>
              </w:rPr>
              <w:t xml:space="preserve"> hardware, software, maintenance, database management </w:t>
            </w:r>
          </w:p>
          <w:p w:rsidR="00293931" w:rsidRDefault="00FD7D4F" w:rsidP="00070322">
            <w:pPr>
              <w:spacing w:after="120"/>
              <w:rPr>
                <w:iCs/>
                <w:color w:val="000000"/>
                <w:sz w:val="24"/>
                <w:szCs w:val="24"/>
              </w:rPr>
            </w:pPr>
            <w:r w:rsidRPr="00237149">
              <w:rPr>
                <w:iCs/>
                <w:color w:val="000000"/>
                <w:sz w:val="24"/>
                <w:szCs w:val="24"/>
              </w:rPr>
              <w:t xml:space="preserve">GIS services for all PSAPs </w:t>
            </w:r>
          </w:p>
          <w:p w:rsidR="00FD7D4F" w:rsidRDefault="00293931" w:rsidP="00070322">
            <w:pPr>
              <w:spacing w:after="120"/>
              <w:rPr>
                <w:iCs/>
                <w:color w:val="000000"/>
                <w:sz w:val="24"/>
                <w:szCs w:val="24"/>
              </w:rPr>
            </w:pPr>
            <w:r>
              <w:rPr>
                <w:iCs/>
                <w:color w:val="000000"/>
                <w:sz w:val="24"/>
                <w:szCs w:val="24"/>
              </w:rPr>
              <w:t xml:space="preserve">A </w:t>
            </w:r>
            <w:r w:rsidR="00FD7D4F" w:rsidRPr="00237149">
              <w:rPr>
                <w:iCs/>
                <w:color w:val="000000"/>
                <w:sz w:val="24"/>
                <w:szCs w:val="24"/>
              </w:rPr>
              <w:t>Statewide emergency notification system</w:t>
            </w:r>
          </w:p>
          <w:p w:rsidR="00237149" w:rsidRDefault="00237149" w:rsidP="00070322">
            <w:pPr>
              <w:spacing w:after="120"/>
              <w:rPr>
                <w:iCs/>
                <w:color w:val="000000"/>
                <w:sz w:val="24"/>
                <w:szCs w:val="24"/>
              </w:rPr>
            </w:pPr>
            <w:r>
              <w:rPr>
                <w:iCs/>
                <w:color w:val="000000"/>
                <w:sz w:val="24"/>
                <w:szCs w:val="24"/>
              </w:rPr>
              <w:t>Division salaries and operating expenses</w:t>
            </w:r>
          </w:p>
          <w:p w:rsidR="00237149" w:rsidRDefault="00237149" w:rsidP="00070322">
            <w:pPr>
              <w:spacing w:after="120"/>
              <w:rPr>
                <w:iCs/>
                <w:color w:val="000000"/>
                <w:sz w:val="24"/>
                <w:szCs w:val="24"/>
              </w:rPr>
            </w:pPr>
            <w:r>
              <w:rPr>
                <w:iCs/>
                <w:color w:val="000000"/>
                <w:sz w:val="24"/>
                <w:szCs w:val="24"/>
              </w:rPr>
              <w:t>Fundi</w:t>
            </w:r>
            <w:r w:rsidR="00E23C33">
              <w:rPr>
                <w:iCs/>
                <w:color w:val="000000"/>
                <w:sz w:val="24"/>
                <w:szCs w:val="24"/>
              </w:rPr>
              <w:t>ng for Connecticut State Police emergency telecommunications</w:t>
            </w:r>
          </w:p>
          <w:p w:rsidR="00FD7D4F" w:rsidRPr="00237149" w:rsidRDefault="00FD7D4F" w:rsidP="00070322">
            <w:pPr>
              <w:spacing w:after="120"/>
              <w:rPr>
                <w:iCs/>
                <w:color w:val="000000"/>
                <w:sz w:val="24"/>
                <w:szCs w:val="24"/>
              </w:rPr>
            </w:pPr>
            <w:r w:rsidRPr="00237149">
              <w:rPr>
                <w:iCs/>
                <w:color w:val="000000"/>
                <w:sz w:val="24"/>
                <w:szCs w:val="24"/>
              </w:rPr>
              <w:t>Subsidies for regional emergency communic</w:t>
            </w:r>
            <w:r w:rsidR="00293931">
              <w:rPr>
                <w:iCs/>
                <w:color w:val="000000"/>
                <w:sz w:val="24"/>
                <w:szCs w:val="24"/>
              </w:rPr>
              <w:t xml:space="preserve">ation centers, multi-town PSAPs, and </w:t>
            </w:r>
            <w:r w:rsidRPr="00237149">
              <w:rPr>
                <w:iCs/>
                <w:color w:val="000000"/>
                <w:sz w:val="24"/>
                <w:szCs w:val="24"/>
              </w:rPr>
              <w:t xml:space="preserve"> municipalities with populations greater than 40,000</w:t>
            </w:r>
          </w:p>
          <w:p w:rsidR="00FD7D4F" w:rsidRPr="00237149" w:rsidRDefault="00FD7D4F" w:rsidP="00070322">
            <w:pPr>
              <w:spacing w:after="120"/>
              <w:rPr>
                <w:iCs/>
                <w:color w:val="000000"/>
                <w:sz w:val="24"/>
                <w:szCs w:val="24"/>
              </w:rPr>
            </w:pPr>
            <w:r w:rsidRPr="00237149">
              <w:rPr>
                <w:iCs/>
                <w:color w:val="000000"/>
                <w:sz w:val="24"/>
                <w:szCs w:val="24"/>
              </w:rPr>
              <w:t xml:space="preserve">State 911 training and certification </w:t>
            </w:r>
          </w:p>
          <w:p w:rsidR="00FD7D4F" w:rsidRPr="00237149" w:rsidRDefault="00B6368F" w:rsidP="00070322">
            <w:pPr>
              <w:spacing w:after="120"/>
              <w:rPr>
                <w:iCs/>
                <w:color w:val="000000"/>
                <w:sz w:val="24"/>
                <w:szCs w:val="24"/>
              </w:rPr>
            </w:pPr>
            <w:r w:rsidRPr="00237149">
              <w:rPr>
                <w:iCs/>
                <w:color w:val="000000"/>
                <w:sz w:val="24"/>
                <w:szCs w:val="24"/>
              </w:rPr>
              <w:t>Emergency</w:t>
            </w:r>
            <w:r w:rsidR="00FD7D4F" w:rsidRPr="00237149">
              <w:rPr>
                <w:iCs/>
                <w:color w:val="000000"/>
                <w:sz w:val="24"/>
                <w:szCs w:val="24"/>
              </w:rPr>
              <w:t xml:space="preserve"> </w:t>
            </w:r>
            <w:r w:rsidRPr="00237149">
              <w:rPr>
                <w:iCs/>
                <w:color w:val="000000"/>
                <w:sz w:val="24"/>
                <w:szCs w:val="24"/>
              </w:rPr>
              <w:t>Medical</w:t>
            </w:r>
            <w:r w:rsidR="00FD7D4F" w:rsidRPr="00237149">
              <w:rPr>
                <w:iCs/>
                <w:color w:val="000000"/>
                <w:sz w:val="24"/>
                <w:szCs w:val="24"/>
              </w:rPr>
              <w:t xml:space="preserve"> Dispatch training</w:t>
            </w:r>
          </w:p>
          <w:p w:rsidR="00FD7D4F" w:rsidRPr="00237149" w:rsidRDefault="00FD7D4F" w:rsidP="00070322">
            <w:pPr>
              <w:spacing w:after="120"/>
              <w:rPr>
                <w:iCs/>
                <w:color w:val="000000"/>
                <w:sz w:val="24"/>
                <w:szCs w:val="24"/>
              </w:rPr>
            </w:pPr>
            <w:r w:rsidRPr="00237149">
              <w:rPr>
                <w:iCs/>
                <w:color w:val="000000"/>
                <w:sz w:val="24"/>
                <w:szCs w:val="24"/>
              </w:rPr>
              <w:t>Capital expense grants</w:t>
            </w:r>
          </w:p>
          <w:p w:rsidR="00FD7D4F" w:rsidRPr="00237149" w:rsidRDefault="00FD7D4F" w:rsidP="00070322">
            <w:pPr>
              <w:spacing w:after="120"/>
              <w:rPr>
                <w:iCs/>
                <w:color w:val="000000"/>
                <w:sz w:val="24"/>
                <w:szCs w:val="24"/>
              </w:rPr>
            </w:pPr>
            <w:r w:rsidRPr="00237149">
              <w:rPr>
                <w:iCs/>
                <w:color w:val="000000"/>
                <w:sz w:val="24"/>
                <w:szCs w:val="24"/>
              </w:rPr>
              <w:t>Transition grants for the purpose of consolidation</w:t>
            </w:r>
            <w:r w:rsidR="00293931">
              <w:rPr>
                <w:iCs/>
                <w:color w:val="000000"/>
                <w:sz w:val="24"/>
                <w:szCs w:val="24"/>
              </w:rPr>
              <w:t xml:space="preserve"> of PSAPs</w:t>
            </w:r>
          </w:p>
          <w:p w:rsidR="004B0D5D" w:rsidRDefault="00FD7D4F" w:rsidP="00070322">
            <w:pPr>
              <w:spacing w:after="120"/>
              <w:rPr>
                <w:iCs/>
                <w:color w:val="000000"/>
                <w:sz w:val="24"/>
                <w:szCs w:val="24"/>
              </w:rPr>
            </w:pPr>
            <w:r w:rsidRPr="00237149">
              <w:rPr>
                <w:iCs/>
                <w:color w:val="000000"/>
                <w:sz w:val="24"/>
                <w:szCs w:val="24"/>
              </w:rPr>
              <w:t xml:space="preserve">Public education </w:t>
            </w:r>
            <w:r w:rsidR="00237149">
              <w:rPr>
                <w:iCs/>
                <w:color w:val="000000"/>
                <w:sz w:val="24"/>
                <w:szCs w:val="24"/>
              </w:rPr>
              <w:t xml:space="preserve">initiatives </w:t>
            </w:r>
          </w:p>
          <w:p w:rsidR="00FD7D4F" w:rsidRPr="00237149" w:rsidRDefault="004B0D5D" w:rsidP="00070322">
            <w:pPr>
              <w:spacing w:after="120"/>
              <w:rPr>
                <w:iCs/>
                <w:color w:val="000000"/>
                <w:sz w:val="24"/>
                <w:szCs w:val="24"/>
              </w:rPr>
            </w:pPr>
            <w:r>
              <w:rPr>
                <w:iCs/>
                <w:color w:val="000000"/>
                <w:sz w:val="24"/>
                <w:szCs w:val="24"/>
              </w:rPr>
              <w:t>F</w:t>
            </w:r>
            <w:r w:rsidR="00FD7D4F" w:rsidRPr="00237149">
              <w:rPr>
                <w:iCs/>
                <w:color w:val="000000"/>
                <w:sz w:val="24"/>
                <w:szCs w:val="24"/>
              </w:rPr>
              <w:t>iber</w:t>
            </w:r>
            <w:r>
              <w:rPr>
                <w:iCs/>
                <w:color w:val="000000"/>
                <w:sz w:val="24"/>
                <w:szCs w:val="24"/>
              </w:rPr>
              <w:t xml:space="preserve"> optic</w:t>
            </w:r>
            <w:r w:rsidR="00FD7D4F" w:rsidRPr="00237149">
              <w:rPr>
                <w:iCs/>
                <w:color w:val="000000"/>
                <w:sz w:val="24"/>
                <w:szCs w:val="24"/>
              </w:rPr>
              <w:t xml:space="preserve"> public safety data network</w:t>
            </w:r>
          </w:p>
          <w:p w:rsidR="00FD7D4F" w:rsidRPr="00237149" w:rsidRDefault="00B6368F" w:rsidP="00070322">
            <w:pPr>
              <w:spacing w:after="120"/>
              <w:rPr>
                <w:iCs/>
                <w:color w:val="000000"/>
                <w:sz w:val="24"/>
                <w:szCs w:val="24"/>
              </w:rPr>
            </w:pPr>
            <w:r w:rsidRPr="00237149">
              <w:rPr>
                <w:iCs/>
                <w:color w:val="000000"/>
                <w:sz w:val="24"/>
                <w:szCs w:val="24"/>
              </w:rPr>
              <w:t>Funding for the Dept. of Public Health for collection of EMS data</w:t>
            </w:r>
          </w:p>
          <w:p w:rsidR="00B6368F" w:rsidRPr="00237149" w:rsidRDefault="00B6368F" w:rsidP="00070322">
            <w:pPr>
              <w:spacing w:after="120"/>
              <w:rPr>
                <w:iCs/>
                <w:color w:val="000000"/>
                <w:sz w:val="24"/>
                <w:szCs w:val="24"/>
              </w:rPr>
            </w:pPr>
            <w:r w:rsidRPr="00237149">
              <w:rPr>
                <w:iCs/>
                <w:color w:val="000000"/>
                <w:sz w:val="24"/>
                <w:szCs w:val="24"/>
              </w:rPr>
              <w:t>PSAP Training</w:t>
            </w:r>
            <w:r w:rsidR="00E23C33">
              <w:rPr>
                <w:iCs/>
                <w:color w:val="000000"/>
                <w:sz w:val="24"/>
                <w:szCs w:val="24"/>
              </w:rPr>
              <w:t xml:space="preserve"> </w:t>
            </w:r>
            <w:r w:rsidRPr="00237149">
              <w:rPr>
                <w:iCs/>
                <w:color w:val="000000"/>
                <w:sz w:val="24"/>
                <w:szCs w:val="24"/>
              </w:rPr>
              <w:t>Funds</w:t>
            </w:r>
          </w:p>
          <w:p w:rsidR="00237149" w:rsidRDefault="00237149" w:rsidP="00070322">
            <w:pPr>
              <w:spacing w:after="120"/>
              <w:rPr>
                <w:iCs/>
                <w:color w:val="000000"/>
                <w:sz w:val="24"/>
                <w:szCs w:val="24"/>
              </w:rPr>
            </w:pPr>
            <w:r>
              <w:rPr>
                <w:iCs/>
                <w:color w:val="000000"/>
                <w:sz w:val="24"/>
                <w:szCs w:val="24"/>
              </w:rPr>
              <w:t>P-25 Switch</w:t>
            </w:r>
          </w:p>
          <w:p w:rsidR="00237149" w:rsidRDefault="00293931" w:rsidP="00070322">
            <w:pPr>
              <w:spacing w:after="120"/>
              <w:rPr>
                <w:iCs/>
                <w:color w:val="000000"/>
                <w:sz w:val="24"/>
                <w:szCs w:val="24"/>
              </w:rPr>
            </w:pPr>
            <w:r>
              <w:rPr>
                <w:iCs/>
                <w:color w:val="000000"/>
                <w:sz w:val="24"/>
                <w:szCs w:val="24"/>
              </w:rPr>
              <w:t>Interpretation services for limited or non-English speaking callers</w:t>
            </w:r>
          </w:p>
          <w:p w:rsidR="004C073E" w:rsidRPr="00FD7D4F" w:rsidRDefault="004C073E" w:rsidP="00070322">
            <w:pPr>
              <w:spacing w:after="120"/>
              <w:rPr>
                <w:iCs/>
                <w:color w:val="000000"/>
                <w:sz w:val="32"/>
                <w:szCs w:val="32"/>
              </w:rPr>
            </w:pPr>
          </w:p>
          <w:p w:rsidR="004C073E" w:rsidRPr="00FD7D4F" w:rsidRDefault="004C073E" w:rsidP="00070322">
            <w:pPr>
              <w:spacing w:after="120"/>
              <w:rPr>
                <w:iCs/>
                <w:color w:val="000000"/>
                <w:sz w:val="32"/>
                <w:szCs w:val="32"/>
              </w:rPr>
            </w:pPr>
          </w:p>
          <w:p w:rsidR="004C073E" w:rsidRPr="00FD7D4F" w:rsidRDefault="004C073E" w:rsidP="00070322">
            <w:pPr>
              <w:spacing w:after="120"/>
              <w:rPr>
                <w:iCs/>
                <w:color w:val="000000"/>
                <w:sz w:val="32"/>
                <w:szCs w:val="3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B6368F"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c>
          <w:tcPr>
            <w:tcW w:w="1451"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B6368F"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B6368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B6368F"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B6368F" w:rsidP="00334B05">
            <w:pPr>
              <w:rPr>
                <w:sz w:val="22"/>
                <w:szCs w:val="22"/>
              </w:rPr>
            </w:pPr>
            <w:r>
              <w:rPr>
                <w:sz w:val="22"/>
                <w:szCs w:val="22"/>
              </w:rPr>
              <w:t xml:space="preserve">Capital expense grants for funded municipalities and regional emergency communications centers. Transition grants for the purpose of consolidating 911 services and reducing the number of stand-alone PSAPs. </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B6368F" w:rsidP="00070322">
            <w:pPr>
              <w:spacing w:after="120"/>
              <w:rPr>
                <w:iCs/>
                <w:color w:val="000000"/>
                <w:sz w:val="22"/>
                <w:szCs w:val="22"/>
              </w:rPr>
            </w:pPr>
            <w:r>
              <w:rPr>
                <w:iCs/>
                <w:color w:val="000000"/>
                <w:sz w:val="22"/>
                <w:szCs w:val="22"/>
              </w:rPr>
              <w:t>$0.58</w:t>
            </w:r>
            <w:r w:rsidR="00647F7E">
              <w:rPr>
                <w:iCs/>
                <w:color w:val="000000"/>
                <w:sz w:val="22"/>
                <w:szCs w:val="22"/>
              </w:rPr>
              <w:t xml:space="preserve"> / $0.47 *</w:t>
            </w:r>
          </w:p>
        </w:tc>
        <w:tc>
          <w:tcPr>
            <w:tcW w:w="3960" w:type="dxa"/>
          </w:tcPr>
          <w:p w:rsidR="00C769C3" w:rsidRPr="00B75AAC" w:rsidRDefault="00B6368F" w:rsidP="00070322">
            <w:pPr>
              <w:spacing w:after="120"/>
              <w:rPr>
                <w:iCs/>
                <w:color w:val="000000"/>
                <w:sz w:val="22"/>
                <w:szCs w:val="22"/>
              </w:rPr>
            </w:pPr>
            <w:r>
              <w:rPr>
                <w:iCs/>
                <w:color w:val="000000"/>
                <w:sz w:val="22"/>
                <w:szCs w:val="22"/>
              </w:rPr>
              <w:t xml:space="preserve">State </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6368F" w:rsidP="00070322">
            <w:pPr>
              <w:spacing w:after="120"/>
              <w:rPr>
                <w:iCs/>
                <w:color w:val="000000"/>
                <w:sz w:val="22"/>
                <w:szCs w:val="22"/>
              </w:rPr>
            </w:pPr>
            <w:r>
              <w:rPr>
                <w:iCs/>
                <w:color w:val="000000"/>
                <w:sz w:val="22"/>
                <w:szCs w:val="22"/>
              </w:rPr>
              <w:t>$0.58</w:t>
            </w:r>
            <w:r w:rsidR="00647F7E">
              <w:rPr>
                <w:iCs/>
                <w:color w:val="000000"/>
                <w:sz w:val="22"/>
                <w:szCs w:val="22"/>
              </w:rPr>
              <w:t xml:space="preserve"> / $0.47</w:t>
            </w:r>
          </w:p>
        </w:tc>
        <w:tc>
          <w:tcPr>
            <w:tcW w:w="3960" w:type="dxa"/>
          </w:tcPr>
          <w:p w:rsidR="00C769C3" w:rsidRPr="00B75AAC" w:rsidRDefault="00B6368F"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6368F" w:rsidP="00070322">
            <w:pPr>
              <w:spacing w:after="120"/>
              <w:rPr>
                <w:iCs/>
                <w:color w:val="000000"/>
                <w:sz w:val="22"/>
                <w:szCs w:val="22"/>
              </w:rPr>
            </w:pPr>
            <w:r>
              <w:rPr>
                <w:iCs/>
                <w:color w:val="000000"/>
                <w:sz w:val="22"/>
                <w:szCs w:val="22"/>
              </w:rPr>
              <w:t>$0.58</w:t>
            </w:r>
            <w:r w:rsidR="00647F7E">
              <w:rPr>
                <w:iCs/>
                <w:color w:val="000000"/>
                <w:sz w:val="22"/>
                <w:szCs w:val="22"/>
              </w:rPr>
              <w:t xml:space="preserve"> / $0.47</w:t>
            </w:r>
          </w:p>
        </w:tc>
        <w:tc>
          <w:tcPr>
            <w:tcW w:w="3960" w:type="dxa"/>
          </w:tcPr>
          <w:p w:rsidR="00C769C3" w:rsidRPr="00B75AAC" w:rsidRDefault="00B6368F"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6368F" w:rsidP="00070322">
            <w:pPr>
              <w:spacing w:after="120"/>
              <w:rPr>
                <w:iCs/>
                <w:color w:val="000000"/>
                <w:sz w:val="22"/>
                <w:szCs w:val="22"/>
              </w:rPr>
            </w:pPr>
            <w:r>
              <w:rPr>
                <w:iCs/>
                <w:color w:val="000000"/>
                <w:sz w:val="22"/>
                <w:szCs w:val="22"/>
              </w:rPr>
              <w:t>$0.58</w:t>
            </w:r>
            <w:r w:rsidR="00647F7E">
              <w:rPr>
                <w:iCs/>
                <w:color w:val="000000"/>
                <w:sz w:val="22"/>
                <w:szCs w:val="22"/>
              </w:rPr>
              <w:t xml:space="preserve"> / $0.47</w:t>
            </w:r>
          </w:p>
        </w:tc>
        <w:tc>
          <w:tcPr>
            <w:tcW w:w="3960" w:type="dxa"/>
          </w:tcPr>
          <w:p w:rsidR="00C769C3" w:rsidRPr="00B75AAC" w:rsidRDefault="00B6368F"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647F7E" w:rsidRPr="00647F7E" w:rsidRDefault="00647F7E" w:rsidP="00647F7E">
            <w:pPr>
              <w:spacing w:after="120"/>
              <w:rPr>
                <w:iCs/>
                <w:color w:val="000000"/>
                <w:sz w:val="22"/>
                <w:szCs w:val="22"/>
              </w:rPr>
            </w:pPr>
            <w:r w:rsidRPr="00647F7E">
              <w:rPr>
                <w:iCs/>
                <w:color w:val="000000"/>
                <w:sz w:val="22"/>
                <w:szCs w:val="22"/>
              </w:rPr>
              <w:t>*</w:t>
            </w:r>
            <w:r>
              <w:rPr>
                <w:iCs/>
                <w:color w:val="000000"/>
                <w:sz w:val="22"/>
                <w:szCs w:val="22"/>
              </w:rPr>
              <w:t xml:space="preserve">The E911 Surcharge is set for the State of Connecticut’s fiscal year. </w:t>
            </w:r>
            <w:r w:rsidRPr="00647F7E">
              <w:rPr>
                <w:iCs/>
                <w:color w:val="000000"/>
                <w:sz w:val="22"/>
                <w:szCs w:val="22"/>
              </w:rPr>
              <w:t xml:space="preserve"> </w:t>
            </w:r>
            <w:r>
              <w:rPr>
                <w:iCs/>
                <w:color w:val="000000"/>
                <w:sz w:val="22"/>
                <w:szCs w:val="22"/>
              </w:rPr>
              <w:t>Therefore fees imposed for 2017 are :</w:t>
            </w:r>
          </w:p>
          <w:p w:rsidR="00647F7E" w:rsidRDefault="00647F7E" w:rsidP="00647F7E">
            <w:pPr>
              <w:pStyle w:val="ListParagraph"/>
              <w:numPr>
                <w:ilvl w:val="0"/>
                <w:numId w:val="25"/>
              </w:numPr>
              <w:spacing w:after="120"/>
              <w:rPr>
                <w:iCs/>
                <w:color w:val="000000"/>
                <w:sz w:val="22"/>
                <w:szCs w:val="22"/>
              </w:rPr>
            </w:pPr>
            <w:r>
              <w:rPr>
                <w:iCs/>
                <w:color w:val="000000"/>
                <w:sz w:val="22"/>
                <w:szCs w:val="22"/>
              </w:rPr>
              <w:t>Jan-June 2017 = $0.47</w:t>
            </w:r>
          </w:p>
          <w:p w:rsidR="00647F7E" w:rsidRDefault="00647F7E" w:rsidP="00647F7E">
            <w:pPr>
              <w:pStyle w:val="ListParagraph"/>
              <w:numPr>
                <w:ilvl w:val="0"/>
                <w:numId w:val="25"/>
              </w:numPr>
              <w:spacing w:after="120"/>
              <w:rPr>
                <w:iCs/>
                <w:color w:val="000000"/>
                <w:sz w:val="22"/>
                <w:szCs w:val="22"/>
              </w:rPr>
            </w:pPr>
            <w:r>
              <w:rPr>
                <w:iCs/>
                <w:color w:val="000000"/>
                <w:sz w:val="22"/>
                <w:szCs w:val="22"/>
              </w:rPr>
              <w:t>July-Dec 2017= $0.58</w:t>
            </w:r>
          </w:p>
          <w:p w:rsidR="00070322" w:rsidRPr="00647F7E" w:rsidRDefault="00070322" w:rsidP="00647F7E">
            <w:pPr>
              <w:pStyle w:val="ListParagraph"/>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293931"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293931" w:rsidRDefault="00AF3766" w:rsidP="00070322">
            <w:pPr>
              <w:spacing w:after="120"/>
              <w:jc w:val="center"/>
              <w:rPr>
                <w:iCs/>
                <w:color w:val="000000"/>
                <w:sz w:val="22"/>
                <w:szCs w:val="22"/>
                <w:highlight w:val="yellow"/>
              </w:rPr>
            </w:pPr>
            <w:r w:rsidRPr="00AF3766">
              <w:rPr>
                <w:iCs/>
                <w:color w:val="000000"/>
                <w:sz w:val="22"/>
                <w:szCs w:val="22"/>
              </w:rPr>
              <w:t>$2,016,382.94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C85E57">
            <w:pPr>
              <w:spacing w:after="120"/>
              <w:jc w:val="center"/>
              <w:rPr>
                <w:iCs/>
                <w:color w:val="000000"/>
                <w:sz w:val="22"/>
                <w:szCs w:val="22"/>
              </w:rPr>
            </w:pPr>
          </w:p>
        </w:tc>
      </w:tr>
      <w:tr w:rsidR="000410A2" w:rsidRPr="00293931"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293931" w:rsidRDefault="00AF3766" w:rsidP="00AF3766">
            <w:pPr>
              <w:spacing w:after="120"/>
              <w:jc w:val="center"/>
              <w:rPr>
                <w:iCs/>
                <w:color w:val="000000"/>
                <w:sz w:val="22"/>
                <w:szCs w:val="22"/>
                <w:highlight w:val="yellow"/>
              </w:rPr>
            </w:pPr>
            <w:r w:rsidRPr="00AF3766">
              <w:rPr>
                <w:rFonts w:ascii="Calibri" w:eastAsiaTheme="minorHAnsi" w:hAnsi="Calibri" w:cs="Calibri"/>
                <w:color w:val="000000"/>
                <w:sz w:val="22"/>
                <w:szCs w:val="22"/>
              </w:rPr>
              <w:t xml:space="preserve">$28,651,232.63 </w:t>
            </w:r>
            <w:r w:rsidR="00C85E57" w:rsidRPr="00293931">
              <w:rPr>
                <w:rFonts w:ascii="Calibri" w:eastAsiaTheme="minorHAnsi" w:hAnsi="Calibri" w:cs="Calibri"/>
                <w:color w:val="000000"/>
                <w:sz w:val="22"/>
                <w:szCs w:val="22"/>
                <w:highlight w:val="yellow"/>
              </w:rPr>
              <w:t xml:space="preserve">  </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391AAB" w:rsidP="00B34B8D">
            <w:pPr>
              <w:pStyle w:val="BodyText"/>
              <w:rPr>
                <w:rFonts w:ascii="Times New Roman" w:hAnsi="Times New Roman" w:cs="Times New Roman"/>
                <w:szCs w:val="22"/>
              </w:rPr>
            </w:pPr>
            <w:r>
              <w:rPr>
                <w:rFonts w:ascii="Times New Roman" w:hAnsi="Times New Roman" w:cs="Times New Roman"/>
                <w:szCs w:val="22"/>
              </w:rPr>
              <w:t xml:space="preserve">The Division does not have the breakdown of collected funds for wireline, VoIP and wireless carriers. Prepaid fees are collected at the point of sale, and are remitted to the Department of Revenue Services. Therefore, total fees collected for prepaid services can be provided. The Division, in cooperation with the Public Utility Regulatory Authority, </w:t>
            </w:r>
            <w:r w:rsidR="00B34B8D">
              <w:rPr>
                <w:rFonts w:ascii="Times New Roman" w:hAnsi="Times New Roman" w:cs="Times New Roman"/>
                <w:szCs w:val="22"/>
              </w:rPr>
              <w:t>is</w:t>
            </w:r>
            <w:r>
              <w:rPr>
                <w:rFonts w:ascii="Times New Roman" w:hAnsi="Times New Roman" w:cs="Times New Roman"/>
                <w:szCs w:val="22"/>
              </w:rPr>
              <w:t xml:space="preserve"> working with carriers to ensure that reporting of remittance</w:t>
            </w:r>
            <w:r w:rsidR="00B34B8D">
              <w:rPr>
                <w:rFonts w:ascii="Times New Roman" w:hAnsi="Times New Roman" w:cs="Times New Roman"/>
                <w:szCs w:val="22"/>
              </w:rPr>
              <w:t xml:space="preserve">s is filed separately by service type. </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B6368F"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6368F"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6368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6368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Default="00B6368F" w:rsidP="00B34B8D">
            <w:pPr>
              <w:spacing w:before="120"/>
              <w:rPr>
                <w:sz w:val="22"/>
                <w:szCs w:val="22"/>
              </w:rPr>
            </w:pPr>
            <w:r>
              <w:rPr>
                <w:sz w:val="22"/>
                <w:szCs w:val="22"/>
              </w:rPr>
              <w:t xml:space="preserve">The Division of Statewide Emergency Telecommunications authorizes use of the 911 Funds and requires </w:t>
            </w:r>
            <w:r w:rsidR="00B34B8D">
              <w:rPr>
                <w:sz w:val="22"/>
                <w:szCs w:val="22"/>
              </w:rPr>
              <w:t>quarterly and annual audits for recipients of the E911 subsidy including funded municipalities, regional emergency communications centers and multi-town PSAPs. Failure to utilize funds for</w:t>
            </w:r>
            <w:r w:rsidR="00F81049">
              <w:rPr>
                <w:sz w:val="22"/>
                <w:szCs w:val="22"/>
              </w:rPr>
              <w:t xml:space="preserve"> emergency telecommunications or</w:t>
            </w:r>
            <w:r w:rsidR="00B34B8D">
              <w:rPr>
                <w:sz w:val="22"/>
                <w:szCs w:val="22"/>
              </w:rPr>
              <w:t xml:space="preserve"> failure to submit expenditure reports can result in the withholding of funds. No corrective actions were necessary for period ending December 2017.</w:t>
            </w:r>
          </w:p>
          <w:p w:rsidR="00B34B8D" w:rsidRPr="00B75AAC" w:rsidRDefault="00B34B8D" w:rsidP="00B34B8D">
            <w:pPr>
              <w:spacing w:before="120"/>
              <w:rPr>
                <w:sz w:val="22"/>
                <w:szCs w:val="22"/>
              </w:rPr>
            </w:pPr>
            <w:r>
              <w:rPr>
                <w:sz w:val="22"/>
                <w:szCs w:val="22"/>
              </w:rPr>
              <w:t xml:space="preserve">General Statutes of Connecticut Sec. 28-30a. Enhanced Telecommunications Fund. </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34B8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B34B8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34B8D" w:rsidP="00B34B8D">
            <w:pPr>
              <w:spacing w:before="120"/>
              <w:rPr>
                <w:sz w:val="22"/>
                <w:szCs w:val="22"/>
              </w:rPr>
            </w:pPr>
            <w:r>
              <w:rPr>
                <w:sz w:val="22"/>
                <w:szCs w:val="22"/>
              </w:rPr>
              <w:t>The Public Utility Authority has the authority to investigate non-</w:t>
            </w:r>
            <w:r w:rsidR="00AD1F15">
              <w:rPr>
                <w:sz w:val="22"/>
                <w:szCs w:val="22"/>
              </w:rPr>
              <w:t>compliance</w:t>
            </w:r>
            <w:r>
              <w:rPr>
                <w:sz w:val="22"/>
                <w:szCs w:val="22"/>
              </w:rPr>
              <w:t xml:space="preserve"> of the reporting order</w:t>
            </w:r>
            <w:r w:rsidR="00AD1F15">
              <w:rPr>
                <w:sz w:val="22"/>
                <w:szCs w:val="22"/>
              </w:rPr>
              <w:t>, from</w:t>
            </w:r>
            <w:r>
              <w:rPr>
                <w:sz w:val="22"/>
                <w:szCs w:val="22"/>
              </w:rPr>
              <w:t xml:space="preserve"> the annual final docket decision. Progressive steps are taken to ensure compliance and may include written communication, opening of a new docket or imposing a civil penalty or fine. </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B6368F"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B6368F" w:rsidP="00827360">
            <w:pPr>
              <w:spacing w:before="120"/>
              <w:rPr>
                <w:sz w:val="22"/>
                <w:szCs w:val="22"/>
              </w:rPr>
            </w:pPr>
            <w:r>
              <w:rPr>
                <w:sz w:val="22"/>
                <w:szCs w:val="22"/>
              </w:rPr>
              <w:t xml:space="preserve">General Statutes of Connecticut Sec. 28-30a. Enhanced 9-1-1 Telecommunications Fund. </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B6368F"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101F0A">
              <w:rPr>
                <w:rFonts w:ascii="Times New Roman" w:hAnsi="Times New Roman" w:cs="Times New Roman"/>
                <w:b/>
                <w:szCs w:val="22"/>
              </w:rPr>
            </w:r>
            <w:r w:rsidR="00101F0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101F0A">
              <w:rPr>
                <w:rFonts w:ascii="Times New Roman" w:hAnsi="Times New Roman" w:cs="Times New Roman"/>
                <w:b/>
                <w:szCs w:val="22"/>
              </w:rPr>
            </w:r>
            <w:r w:rsidR="00101F0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Default="00AD1F15" w:rsidP="002C7794">
            <w:pPr>
              <w:spacing w:after="120"/>
              <w:rPr>
                <w:iCs/>
                <w:color w:val="000000"/>
                <w:sz w:val="22"/>
                <w:szCs w:val="22"/>
              </w:rPr>
            </w:pPr>
            <w:r>
              <w:rPr>
                <w:iCs/>
                <w:color w:val="000000"/>
                <w:sz w:val="22"/>
                <w:szCs w:val="22"/>
              </w:rPr>
              <w:t xml:space="preserve">$8,015,256 for calendar </w:t>
            </w:r>
            <w:r w:rsidR="00AF3766">
              <w:rPr>
                <w:iCs/>
                <w:color w:val="000000"/>
                <w:sz w:val="22"/>
                <w:szCs w:val="22"/>
              </w:rPr>
              <w:t>year 2017</w:t>
            </w:r>
            <w:r>
              <w:rPr>
                <w:iCs/>
                <w:color w:val="000000"/>
                <w:sz w:val="22"/>
                <w:szCs w:val="22"/>
              </w:rPr>
              <w:t>.</w:t>
            </w:r>
          </w:p>
          <w:p w:rsidR="00AD1F15" w:rsidRPr="00B75AAC" w:rsidRDefault="00AD1F15"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1A3831"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AD1F15" w:rsidP="00191F6A">
            <w:pPr>
              <w:spacing w:after="200" w:line="276" w:lineRule="auto"/>
              <w:rPr>
                <w:iCs/>
                <w:color w:val="000000"/>
                <w:sz w:val="22"/>
                <w:szCs w:val="22"/>
              </w:rPr>
            </w:pPr>
            <w:r>
              <w:rPr>
                <w:iCs/>
                <w:color w:val="000000"/>
                <w:sz w:val="22"/>
                <w:szCs w:val="22"/>
              </w:rPr>
              <w:t>109</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1A3831"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AD1F15"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AD1F15"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01F0A">
              <w:rPr>
                <w:rFonts w:ascii="Times New Roman" w:hAnsi="Times New Roman" w:cs="Times New Roman"/>
                <w:b/>
              </w:rPr>
            </w:r>
            <w:r w:rsidR="00101F0A">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785898" w:rsidRDefault="001419C8" w:rsidP="00351A7C">
      <w:pPr>
        <w:numPr>
          <w:ilvl w:val="0"/>
          <w:numId w:val="22"/>
        </w:numPr>
        <w:spacing w:after="120"/>
        <w:rPr>
          <w:sz w:val="22"/>
          <w:szCs w:val="22"/>
        </w:rPr>
      </w:pPr>
      <w:r w:rsidRPr="00B75AAC">
        <w:rPr>
          <w:b/>
          <w:iCs/>
          <w:color w:val="000000"/>
          <w:sz w:val="22"/>
          <w:szCs w:val="22"/>
        </w:rPr>
        <w:t xml:space="preserve">Please provide a description of any NG911 projects completed or underway during the annual </w:t>
      </w:r>
      <w:r w:rsidRPr="00785898">
        <w:rPr>
          <w:sz w:val="22"/>
          <w:szCs w:val="22"/>
        </w:rPr>
        <w:t xml:space="preserve">period ending December 31, </w:t>
      </w:r>
      <w:r w:rsidR="00191F6A" w:rsidRPr="00785898">
        <w:rPr>
          <w:sz w:val="22"/>
          <w:szCs w:val="22"/>
        </w:rPr>
        <w:t>201</w:t>
      </w:r>
      <w:r w:rsidR="004A15AD" w:rsidRPr="00785898">
        <w:rPr>
          <w:sz w:val="22"/>
          <w:szCs w:val="22"/>
        </w:rPr>
        <w:t>7</w:t>
      </w:r>
      <w:r w:rsidRPr="00785898">
        <w:rPr>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785898" w:rsidTr="001419C8">
        <w:trPr>
          <w:trHeight w:val="1466"/>
        </w:trPr>
        <w:tc>
          <w:tcPr>
            <w:tcW w:w="9576" w:type="dxa"/>
          </w:tcPr>
          <w:p w:rsidR="002D1914" w:rsidRPr="00785898" w:rsidRDefault="008A3147" w:rsidP="008A3147">
            <w:pPr>
              <w:spacing w:after="120"/>
              <w:rPr>
                <w:sz w:val="22"/>
                <w:szCs w:val="22"/>
              </w:rPr>
            </w:pPr>
            <w:r w:rsidRPr="00785898">
              <w:rPr>
                <w:sz w:val="22"/>
                <w:szCs w:val="22"/>
              </w:rPr>
              <w:t xml:space="preserve">Replacement of the Enhanced 9-1-1 System – </w:t>
            </w:r>
            <w:r w:rsidR="00AD1F15" w:rsidRPr="00785898">
              <w:rPr>
                <w:sz w:val="22"/>
                <w:szCs w:val="22"/>
              </w:rPr>
              <w:t xml:space="preserve">Replaced statewide </w:t>
            </w:r>
            <w:r w:rsidRPr="00785898">
              <w:rPr>
                <w:sz w:val="22"/>
                <w:szCs w:val="22"/>
              </w:rPr>
              <w:t xml:space="preserve">legacy E911 system with an Internet Protocol (IP) based </w:t>
            </w:r>
            <w:r w:rsidR="00AD1F15" w:rsidRPr="00785898">
              <w:rPr>
                <w:sz w:val="22"/>
                <w:szCs w:val="22"/>
              </w:rPr>
              <w:t xml:space="preserve">Next Generation </w:t>
            </w:r>
            <w:r w:rsidRPr="00785898">
              <w:rPr>
                <w:sz w:val="22"/>
                <w:szCs w:val="22"/>
              </w:rPr>
              <w:t>9-1-1 system</w:t>
            </w:r>
            <w:r w:rsidR="00AD1F15" w:rsidRPr="00785898">
              <w:rPr>
                <w:sz w:val="22"/>
                <w:szCs w:val="22"/>
              </w:rPr>
              <w:t xml:space="preserve"> at 109 </w:t>
            </w:r>
            <w:r w:rsidRPr="00785898">
              <w:rPr>
                <w:sz w:val="22"/>
                <w:szCs w:val="22"/>
              </w:rPr>
              <w:t xml:space="preserve">PSAPs. </w:t>
            </w:r>
          </w:p>
          <w:p w:rsidR="001419C8" w:rsidRPr="00785898" w:rsidRDefault="008A3147" w:rsidP="008A3147">
            <w:pPr>
              <w:spacing w:after="120"/>
              <w:rPr>
                <w:sz w:val="22"/>
                <w:szCs w:val="22"/>
              </w:rPr>
            </w:pPr>
            <w:r w:rsidRPr="00785898">
              <w:rPr>
                <w:sz w:val="22"/>
                <w:szCs w:val="22"/>
              </w:rPr>
              <w:t xml:space="preserve">Trained all telecommunications on NG 911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1A3831" w:rsidP="001419C8">
            <w:pPr>
              <w:spacing w:after="120"/>
              <w:rPr>
                <w:iCs/>
                <w:color w:val="000000"/>
                <w:sz w:val="22"/>
                <w:szCs w:val="22"/>
              </w:rPr>
            </w:pPr>
            <w:r>
              <w:rPr>
                <w:iCs/>
                <w:color w:val="000000"/>
                <w:sz w:val="22"/>
                <w:szCs w:val="22"/>
              </w:rPr>
              <w:t xml:space="preserve">  None </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AD1F15" w:rsidP="001419C8">
            <w:pPr>
              <w:spacing w:after="120"/>
              <w:rPr>
                <w:iCs/>
                <w:color w:val="000000"/>
                <w:sz w:val="22"/>
                <w:szCs w:val="22"/>
              </w:rPr>
            </w:pPr>
            <w:r>
              <w:rPr>
                <w:iCs/>
                <w:color w:val="000000"/>
                <w:sz w:val="22"/>
                <w:szCs w:val="22"/>
              </w:rPr>
              <w:t>109</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101F0A">
              <w:rPr>
                <w:b/>
                <w:iCs/>
                <w:color w:val="000000"/>
                <w:sz w:val="22"/>
                <w:szCs w:val="22"/>
              </w:rPr>
            </w:r>
            <w:r w:rsidR="00101F0A">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1A3831"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101F0A">
              <w:rPr>
                <w:b/>
                <w:iCs/>
                <w:color w:val="000000"/>
                <w:sz w:val="22"/>
                <w:szCs w:val="22"/>
              </w:rPr>
            </w:r>
            <w:r w:rsidR="00101F0A">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1A3831" w:rsidP="00F87B4F">
            <w:pPr>
              <w:spacing w:after="120"/>
              <w:ind w:left="360"/>
              <w:rPr>
                <w:iCs/>
                <w:color w:val="000000"/>
                <w:sz w:val="22"/>
                <w:szCs w:val="22"/>
              </w:rPr>
            </w:pPr>
            <w:r>
              <w:rPr>
                <w:iCs/>
                <w:color w:val="000000"/>
                <w:sz w:val="22"/>
                <w:szCs w:val="22"/>
              </w:rPr>
              <w:t xml:space="preserve">Unknown </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101F0A">
              <w:rPr>
                <w:b/>
                <w:sz w:val="22"/>
                <w:szCs w:val="22"/>
              </w:rPr>
            </w:r>
            <w:r w:rsidR="00101F0A">
              <w:rPr>
                <w:b/>
                <w:sz w:val="22"/>
                <w:szCs w:val="22"/>
              </w:rPr>
              <w:fldChar w:fldCharType="separate"/>
            </w:r>
            <w:r w:rsidRPr="00B75AAC">
              <w:rPr>
                <w:b/>
                <w:sz w:val="22"/>
                <w:szCs w:val="22"/>
              </w:rPr>
              <w:fldChar w:fldCharType="end"/>
            </w:r>
          </w:p>
        </w:tc>
        <w:tc>
          <w:tcPr>
            <w:tcW w:w="1250" w:type="dxa"/>
            <w:vAlign w:val="center"/>
          </w:tcPr>
          <w:p w:rsidR="00B73517" w:rsidRPr="00B75AAC" w:rsidRDefault="001A3831"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101F0A">
              <w:rPr>
                <w:b/>
                <w:sz w:val="22"/>
                <w:szCs w:val="22"/>
              </w:rPr>
            </w:r>
            <w:r w:rsidR="00101F0A">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Default="001A3831" w:rsidP="00F87B4F">
            <w:pPr>
              <w:spacing w:line="360" w:lineRule="auto"/>
              <w:rPr>
                <w:sz w:val="22"/>
                <w:szCs w:val="22"/>
              </w:rPr>
            </w:pPr>
            <w:r>
              <w:rPr>
                <w:sz w:val="22"/>
                <w:szCs w:val="22"/>
              </w:rPr>
              <w:t>The Division of Statewide Emergency Telecommunications submits its annual budget requ</w:t>
            </w:r>
            <w:r w:rsidR="00AD1F15">
              <w:rPr>
                <w:sz w:val="22"/>
                <w:szCs w:val="22"/>
              </w:rPr>
              <w:t xml:space="preserve">est </w:t>
            </w:r>
            <w:r>
              <w:rPr>
                <w:sz w:val="22"/>
                <w:szCs w:val="22"/>
              </w:rPr>
              <w:t>to the Public Utility</w:t>
            </w:r>
            <w:r w:rsidR="00AD1F15">
              <w:rPr>
                <w:sz w:val="22"/>
                <w:szCs w:val="22"/>
              </w:rPr>
              <w:t xml:space="preserve"> Regulatory</w:t>
            </w:r>
            <w:r>
              <w:rPr>
                <w:sz w:val="22"/>
                <w:szCs w:val="22"/>
              </w:rPr>
              <w:t xml:space="preserve"> Authority (PURA) for approval and the setting of the 9</w:t>
            </w:r>
            <w:r w:rsidR="00504AB4">
              <w:rPr>
                <w:sz w:val="22"/>
                <w:szCs w:val="22"/>
              </w:rPr>
              <w:t>-</w:t>
            </w:r>
            <w:r>
              <w:rPr>
                <w:sz w:val="22"/>
                <w:szCs w:val="22"/>
              </w:rPr>
              <w:t>1</w:t>
            </w:r>
            <w:r w:rsidR="00504AB4">
              <w:rPr>
                <w:sz w:val="22"/>
                <w:szCs w:val="22"/>
              </w:rPr>
              <w:t>-</w:t>
            </w:r>
            <w:r>
              <w:rPr>
                <w:sz w:val="22"/>
                <w:szCs w:val="22"/>
              </w:rPr>
              <w:t xml:space="preserve">1 surcharge </w:t>
            </w:r>
            <w:r w:rsidR="00504AB4">
              <w:rPr>
                <w:sz w:val="22"/>
                <w:szCs w:val="22"/>
              </w:rPr>
              <w:t>rate.</w:t>
            </w:r>
            <w:r>
              <w:rPr>
                <w:sz w:val="22"/>
                <w:szCs w:val="22"/>
              </w:rPr>
              <w:t xml:space="preserve"> 9</w:t>
            </w:r>
            <w:r w:rsidR="00AD1F15">
              <w:rPr>
                <w:sz w:val="22"/>
                <w:szCs w:val="22"/>
              </w:rPr>
              <w:t>-</w:t>
            </w:r>
            <w:r>
              <w:rPr>
                <w:sz w:val="22"/>
                <w:szCs w:val="22"/>
              </w:rPr>
              <w:t>1</w:t>
            </w:r>
            <w:r w:rsidR="00AD1F15">
              <w:rPr>
                <w:sz w:val="22"/>
                <w:szCs w:val="22"/>
              </w:rPr>
              <w:t>-</w:t>
            </w:r>
            <w:r>
              <w:rPr>
                <w:sz w:val="22"/>
                <w:szCs w:val="22"/>
              </w:rPr>
              <w:t>1 funds provide f</w:t>
            </w:r>
            <w:r w:rsidR="00AD1F15">
              <w:rPr>
                <w:sz w:val="22"/>
                <w:szCs w:val="22"/>
              </w:rPr>
              <w:t>unding f</w:t>
            </w:r>
            <w:r>
              <w:rPr>
                <w:sz w:val="22"/>
                <w:szCs w:val="22"/>
              </w:rPr>
              <w:t>or a number of programs and services. All purchasing and expenditures are authorized</w:t>
            </w:r>
            <w:r w:rsidR="00AD1F15">
              <w:rPr>
                <w:sz w:val="22"/>
                <w:szCs w:val="22"/>
              </w:rPr>
              <w:t xml:space="preserve"> and tracked by the Division of St</w:t>
            </w:r>
            <w:r>
              <w:rPr>
                <w:sz w:val="22"/>
                <w:szCs w:val="22"/>
              </w:rPr>
              <w:t>atewide Emergency Telecommunications and m</w:t>
            </w:r>
            <w:r w:rsidR="00AD1F15">
              <w:rPr>
                <w:sz w:val="22"/>
                <w:szCs w:val="22"/>
              </w:rPr>
              <w:t>e</w:t>
            </w:r>
            <w:r>
              <w:rPr>
                <w:sz w:val="22"/>
                <w:szCs w:val="22"/>
              </w:rPr>
              <w:t xml:space="preserve">et state guidelines for purchasing. </w:t>
            </w:r>
            <w:r w:rsidR="00504AB4">
              <w:rPr>
                <w:sz w:val="22"/>
                <w:szCs w:val="22"/>
              </w:rPr>
              <w:t xml:space="preserve">Requests and approvals for Transition Grants measure success of consolidation efforts, requests and reimbursements for capital expenditures measure activity and upgrades to funded municipalities and regional communications centers. </w:t>
            </w:r>
            <w:r>
              <w:rPr>
                <w:sz w:val="22"/>
                <w:szCs w:val="22"/>
              </w:rPr>
              <w:t xml:space="preserve">Recipients of subsidies and grants must provide fiscal reports detailing the expenditure of funds. </w:t>
            </w:r>
          </w:p>
          <w:p w:rsidR="001A3831" w:rsidRDefault="001A3831" w:rsidP="00F87B4F">
            <w:pPr>
              <w:spacing w:line="360" w:lineRule="auto"/>
              <w:rPr>
                <w:sz w:val="22"/>
                <w:szCs w:val="22"/>
              </w:rPr>
            </w:pPr>
          </w:p>
          <w:p w:rsidR="001A3831" w:rsidRPr="00B75AAC" w:rsidRDefault="001A3831" w:rsidP="00F87B4F">
            <w:pPr>
              <w:spacing w:line="360" w:lineRule="auto"/>
              <w:rPr>
                <w:sz w:val="22"/>
                <w:szCs w:val="22"/>
              </w:rPr>
            </w:pPr>
            <w:r>
              <w:rPr>
                <w:sz w:val="22"/>
                <w:szCs w:val="22"/>
              </w:rPr>
              <w:t>Annual reports are submitted to the Connecticut General Assembly</w:t>
            </w:r>
            <w:r w:rsidR="00947825">
              <w:rPr>
                <w:sz w:val="22"/>
                <w:szCs w:val="22"/>
              </w:rPr>
              <w:t>, detailing</w:t>
            </w:r>
            <w:r w:rsidR="00237149">
              <w:rPr>
                <w:sz w:val="22"/>
                <w:szCs w:val="22"/>
              </w:rPr>
              <w:t xml:space="preserve"> all Division activities and projects. </w:t>
            </w:r>
            <w:r>
              <w:rPr>
                <w:sz w:val="22"/>
                <w:szCs w:val="22"/>
              </w:rPr>
              <w:t xml:space="preserve"> </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3C2" w:rsidRDefault="00C463C2" w:rsidP="003C5278">
      <w:r>
        <w:separator/>
      </w:r>
    </w:p>
  </w:endnote>
  <w:endnote w:type="continuationSeparator" w:id="0">
    <w:p w:rsidR="00C463C2" w:rsidRDefault="00C463C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4C" w:rsidRDefault="003A224C">
    <w:pPr>
      <w:pStyle w:val="Footer"/>
    </w:pPr>
    <w:r>
      <w:tab/>
    </w:r>
    <w:r>
      <w:fldChar w:fldCharType="begin"/>
    </w:r>
    <w:r>
      <w:instrText xml:space="preserve"> PAGE   \* MERGEFORMAT </w:instrText>
    </w:r>
    <w:r>
      <w:fldChar w:fldCharType="separate"/>
    </w:r>
    <w:r w:rsidR="00F81049">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3C2" w:rsidRDefault="00C463C2" w:rsidP="003C5278">
      <w:r>
        <w:separator/>
      </w:r>
    </w:p>
  </w:footnote>
  <w:footnote w:type="continuationSeparator" w:id="0">
    <w:p w:rsidR="00C463C2" w:rsidRDefault="00C463C2" w:rsidP="003C5278">
      <w:r>
        <w:continuationSeparator/>
      </w:r>
    </w:p>
  </w:footnote>
  <w:footnote w:id="1">
    <w:p w:rsidR="003A224C" w:rsidRPr="00003A91" w:rsidRDefault="003A224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3A224C" w:rsidRPr="00554172" w:rsidRDefault="003A224C"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24C" w:rsidRDefault="00101F0A"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3401615" r:id="rId2"/>
      </w:object>
    </w:r>
    <w:r w:rsidR="003A224C">
      <w:rPr>
        <w:rFonts w:ascii="CG Times (W1)" w:hAnsi="CG Times (W1)"/>
        <w:sz w:val="28"/>
      </w:rPr>
      <w:t>Federal Communications Commission</w:t>
    </w:r>
  </w:p>
  <w:p w:rsidR="003A224C" w:rsidRDefault="003A224C" w:rsidP="003C5278">
    <w:pPr>
      <w:jc w:val="center"/>
    </w:pPr>
    <w:r>
      <w:rPr>
        <w:rFonts w:ascii="CG Times (W1)" w:hAnsi="CG Times (W1)"/>
        <w:sz w:val="28"/>
      </w:rPr>
      <w:t>Washington, D.C. 20554</w:t>
    </w:r>
  </w:p>
  <w:p w:rsidR="003A224C" w:rsidRDefault="003A2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20CE3"/>
    <w:multiLevelType w:val="hybridMultilevel"/>
    <w:tmpl w:val="AD180A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19"/>
  </w:num>
  <w:num w:numId="5">
    <w:abstractNumId w:val="22"/>
  </w:num>
  <w:num w:numId="6">
    <w:abstractNumId w:val="14"/>
  </w:num>
  <w:num w:numId="7">
    <w:abstractNumId w:val="13"/>
  </w:num>
  <w:num w:numId="8">
    <w:abstractNumId w:val="15"/>
  </w:num>
  <w:num w:numId="9">
    <w:abstractNumId w:val="9"/>
  </w:num>
  <w:num w:numId="10">
    <w:abstractNumId w:val="21"/>
  </w:num>
  <w:num w:numId="11">
    <w:abstractNumId w:val="24"/>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0FA"/>
    <w:rsid w:val="00017847"/>
    <w:rsid w:val="000410A2"/>
    <w:rsid w:val="000479FE"/>
    <w:rsid w:val="00070322"/>
    <w:rsid w:val="000811AE"/>
    <w:rsid w:val="000A5650"/>
    <w:rsid w:val="000D7885"/>
    <w:rsid w:val="000E51C0"/>
    <w:rsid w:val="00101F0A"/>
    <w:rsid w:val="00110CCC"/>
    <w:rsid w:val="00125392"/>
    <w:rsid w:val="0013559C"/>
    <w:rsid w:val="001419C8"/>
    <w:rsid w:val="00162296"/>
    <w:rsid w:val="00172730"/>
    <w:rsid w:val="00181828"/>
    <w:rsid w:val="001818B0"/>
    <w:rsid w:val="001858E4"/>
    <w:rsid w:val="00191879"/>
    <w:rsid w:val="00191F6A"/>
    <w:rsid w:val="00195E3C"/>
    <w:rsid w:val="001A3831"/>
    <w:rsid w:val="001B4C5E"/>
    <w:rsid w:val="001D54FB"/>
    <w:rsid w:val="001F52BE"/>
    <w:rsid w:val="001F7542"/>
    <w:rsid w:val="002020F0"/>
    <w:rsid w:val="00214FB2"/>
    <w:rsid w:val="00216EF5"/>
    <w:rsid w:val="00237149"/>
    <w:rsid w:val="00257B86"/>
    <w:rsid w:val="0026704F"/>
    <w:rsid w:val="00283A97"/>
    <w:rsid w:val="00293931"/>
    <w:rsid w:val="00296395"/>
    <w:rsid w:val="002A08F3"/>
    <w:rsid w:val="002A70C1"/>
    <w:rsid w:val="002C7794"/>
    <w:rsid w:val="002D1327"/>
    <w:rsid w:val="002D1914"/>
    <w:rsid w:val="002E127F"/>
    <w:rsid w:val="002E3507"/>
    <w:rsid w:val="002E5708"/>
    <w:rsid w:val="002F26CA"/>
    <w:rsid w:val="003137A8"/>
    <w:rsid w:val="00323FA6"/>
    <w:rsid w:val="00334B05"/>
    <w:rsid w:val="003442F5"/>
    <w:rsid w:val="00351A7C"/>
    <w:rsid w:val="00357926"/>
    <w:rsid w:val="00375401"/>
    <w:rsid w:val="00391AAB"/>
    <w:rsid w:val="003A224C"/>
    <w:rsid w:val="003B13A8"/>
    <w:rsid w:val="003B1BBD"/>
    <w:rsid w:val="003B4FA4"/>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0D5D"/>
    <w:rsid w:val="004B6128"/>
    <w:rsid w:val="004C073E"/>
    <w:rsid w:val="004E4A08"/>
    <w:rsid w:val="004E53E4"/>
    <w:rsid w:val="004E62B7"/>
    <w:rsid w:val="00504AB4"/>
    <w:rsid w:val="00515F90"/>
    <w:rsid w:val="00520A3C"/>
    <w:rsid w:val="00522169"/>
    <w:rsid w:val="0055191F"/>
    <w:rsid w:val="00551960"/>
    <w:rsid w:val="00554172"/>
    <w:rsid w:val="0058282F"/>
    <w:rsid w:val="005A57A5"/>
    <w:rsid w:val="005E6453"/>
    <w:rsid w:val="005E6F46"/>
    <w:rsid w:val="005F0364"/>
    <w:rsid w:val="005F3487"/>
    <w:rsid w:val="006037D2"/>
    <w:rsid w:val="00611F45"/>
    <w:rsid w:val="00642059"/>
    <w:rsid w:val="006443F7"/>
    <w:rsid w:val="006446C8"/>
    <w:rsid w:val="00647F7E"/>
    <w:rsid w:val="00655926"/>
    <w:rsid w:val="00670CF9"/>
    <w:rsid w:val="006A61B0"/>
    <w:rsid w:val="006A6877"/>
    <w:rsid w:val="006B377B"/>
    <w:rsid w:val="006C6CDE"/>
    <w:rsid w:val="006E1944"/>
    <w:rsid w:val="007242E3"/>
    <w:rsid w:val="007257CE"/>
    <w:rsid w:val="00736FC7"/>
    <w:rsid w:val="00762723"/>
    <w:rsid w:val="00777511"/>
    <w:rsid w:val="00785898"/>
    <w:rsid w:val="007E7627"/>
    <w:rsid w:val="00810905"/>
    <w:rsid w:val="00816CED"/>
    <w:rsid w:val="00817778"/>
    <w:rsid w:val="00820EB7"/>
    <w:rsid w:val="00827360"/>
    <w:rsid w:val="0084759A"/>
    <w:rsid w:val="0085464A"/>
    <w:rsid w:val="008659E2"/>
    <w:rsid w:val="00877B92"/>
    <w:rsid w:val="00884898"/>
    <w:rsid w:val="008A3147"/>
    <w:rsid w:val="008A6BCF"/>
    <w:rsid w:val="008B5EDB"/>
    <w:rsid w:val="008E53B0"/>
    <w:rsid w:val="00904848"/>
    <w:rsid w:val="00931B30"/>
    <w:rsid w:val="00932706"/>
    <w:rsid w:val="00935392"/>
    <w:rsid w:val="00942B67"/>
    <w:rsid w:val="009477C6"/>
    <w:rsid w:val="00947825"/>
    <w:rsid w:val="00952C55"/>
    <w:rsid w:val="0095570D"/>
    <w:rsid w:val="0096567D"/>
    <w:rsid w:val="009C3A85"/>
    <w:rsid w:val="009C52E9"/>
    <w:rsid w:val="009F023E"/>
    <w:rsid w:val="009F3AAA"/>
    <w:rsid w:val="009F449F"/>
    <w:rsid w:val="00A11514"/>
    <w:rsid w:val="00A438DE"/>
    <w:rsid w:val="00A566C9"/>
    <w:rsid w:val="00A705B7"/>
    <w:rsid w:val="00A754C8"/>
    <w:rsid w:val="00A80024"/>
    <w:rsid w:val="00A91682"/>
    <w:rsid w:val="00A93E83"/>
    <w:rsid w:val="00A96E6C"/>
    <w:rsid w:val="00A97F5C"/>
    <w:rsid w:val="00AD1F15"/>
    <w:rsid w:val="00AD51A3"/>
    <w:rsid w:val="00AF3766"/>
    <w:rsid w:val="00B02A26"/>
    <w:rsid w:val="00B34B8D"/>
    <w:rsid w:val="00B40920"/>
    <w:rsid w:val="00B41217"/>
    <w:rsid w:val="00B45C6C"/>
    <w:rsid w:val="00B45EB9"/>
    <w:rsid w:val="00B50C9F"/>
    <w:rsid w:val="00B6368F"/>
    <w:rsid w:val="00B6794F"/>
    <w:rsid w:val="00B73517"/>
    <w:rsid w:val="00B75AAC"/>
    <w:rsid w:val="00B81C7B"/>
    <w:rsid w:val="00B93800"/>
    <w:rsid w:val="00B93A79"/>
    <w:rsid w:val="00B97CF0"/>
    <w:rsid w:val="00BC253E"/>
    <w:rsid w:val="00BC70C3"/>
    <w:rsid w:val="00C05BF3"/>
    <w:rsid w:val="00C463C2"/>
    <w:rsid w:val="00C50383"/>
    <w:rsid w:val="00C71780"/>
    <w:rsid w:val="00C72AB8"/>
    <w:rsid w:val="00C733F3"/>
    <w:rsid w:val="00C769C3"/>
    <w:rsid w:val="00C83509"/>
    <w:rsid w:val="00C85884"/>
    <w:rsid w:val="00C85E57"/>
    <w:rsid w:val="00C90ED6"/>
    <w:rsid w:val="00C96EE6"/>
    <w:rsid w:val="00CC03A7"/>
    <w:rsid w:val="00CD0F2B"/>
    <w:rsid w:val="00CD515C"/>
    <w:rsid w:val="00CF1212"/>
    <w:rsid w:val="00D02B3C"/>
    <w:rsid w:val="00D1778E"/>
    <w:rsid w:val="00D959C0"/>
    <w:rsid w:val="00DD2B8D"/>
    <w:rsid w:val="00DE076F"/>
    <w:rsid w:val="00DE4F51"/>
    <w:rsid w:val="00DE7E87"/>
    <w:rsid w:val="00E20369"/>
    <w:rsid w:val="00E23C33"/>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1049"/>
    <w:rsid w:val="00F87B4F"/>
    <w:rsid w:val="00F92B2E"/>
    <w:rsid w:val="00FD3ADB"/>
    <w:rsid w:val="00FD7D4F"/>
    <w:rsid w:val="00FE516E"/>
    <w:rsid w:val="00FF1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8A8BF3-1A05-4F31-A98E-1FDB4B2D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8848">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766E-EF1D-4064-82D5-9FDC31FE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2608</Words>
  <Characters>14872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Beckwith</cp:lastModifiedBy>
  <cp:revision>2</cp:revision>
  <cp:lastPrinted>2018-06-04T18:49:00Z</cp:lastPrinted>
  <dcterms:created xsi:type="dcterms:W3CDTF">2018-07-18T10:47:00Z</dcterms:created>
  <dcterms:modified xsi:type="dcterms:W3CDTF">2018-07-18T10:47:00Z</dcterms:modified>
</cp:coreProperties>
</file>