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D7547" w14:textId="14154EDF" w:rsidR="00FC35DA" w:rsidRPr="00224E0D" w:rsidRDefault="009313C5" w:rsidP="00FC35DA">
      <w:pPr>
        <w:jc w:val="center"/>
        <w:rPr>
          <w:b/>
        </w:rPr>
      </w:pPr>
      <w:r>
        <w:rPr>
          <w:b/>
        </w:rPr>
        <w:t>2016</w:t>
      </w:r>
      <w:r w:rsidR="00FC35DA">
        <w:rPr>
          <w:b/>
        </w:rPr>
        <w:t xml:space="preserve"> </w:t>
      </w:r>
      <w:r w:rsidR="00FC35DA" w:rsidRPr="00224E0D">
        <w:rPr>
          <w:b/>
        </w:rPr>
        <w:t>Urban Rate Survey –</w:t>
      </w:r>
      <w:r w:rsidR="00E300E9">
        <w:rPr>
          <w:b/>
        </w:rPr>
        <w:t xml:space="preserve"> </w:t>
      </w:r>
      <w:r w:rsidR="00FC35DA">
        <w:rPr>
          <w:b/>
        </w:rPr>
        <w:t>Fixed Broadband Service Analysis</w:t>
      </w:r>
    </w:p>
    <w:p w14:paraId="14591317" w14:textId="77777777" w:rsidR="00893453" w:rsidRDefault="005E6427" w:rsidP="00893453">
      <w:pPr>
        <w:rPr>
          <w:b/>
        </w:rPr>
      </w:pPr>
      <w:r w:rsidRPr="005E6427">
        <w:rPr>
          <w:b/>
        </w:rPr>
        <w:t>Sample Selection</w:t>
      </w:r>
      <w:r w:rsidR="00893453">
        <w:rPr>
          <w:b/>
        </w:rPr>
        <w:t xml:space="preserve"> </w:t>
      </w:r>
      <w:r w:rsidR="00893453" w:rsidRPr="00BC4199">
        <w:rPr>
          <w:b/>
        </w:rPr>
        <w:t>Introduction</w:t>
      </w:r>
    </w:p>
    <w:p w14:paraId="383E1B38" w14:textId="29859632" w:rsidR="00893453" w:rsidRPr="005E6427" w:rsidRDefault="00893453" w:rsidP="00893453">
      <w:pPr>
        <w:rPr>
          <w:b/>
        </w:rPr>
      </w:pPr>
      <w:r w:rsidRPr="004566E0">
        <w:t xml:space="preserve">Every year, </w:t>
      </w:r>
      <w:r>
        <w:t xml:space="preserve">the </w:t>
      </w:r>
      <w:r w:rsidR="00321630">
        <w:t xml:space="preserve">Wireline Competition Bureau </w:t>
      </w:r>
      <w:r w:rsidR="001A5580">
        <w:t xml:space="preserve">conducts a survey of the prices for residential standalone Internet service </w:t>
      </w:r>
      <w:r w:rsidR="00C079AE">
        <w:t>“</w:t>
      </w:r>
      <w:r w:rsidRPr="004566E0">
        <w:t>to help ensure that universal service support recipients offering fixed voice and broadband services do so at reasonably comparable rates to those in urban areas</w:t>
      </w:r>
      <w:r>
        <w:t>.”</w:t>
      </w:r>
      <w:r w:rsidRPr="00625FAC">
        <w:rPr>
          <w:rStyle w:val="FootnoteReference"/>
        </w:rPr>
        <w:t xml:space="preserve"> </w:t>
      </w:r>
      <w:r>
        <w:rPr>
          <w:rStyle w:val="FootnoteReference"/>
        </w:rPr>
        <w:footnoteReference w:id="1"/>
      </w:r>
      <w:r>
        <w:t xml:space="preserve">  This document shows how the </w:t>
      </w:r>
      <w:r w:rsidR="00856132">
        <w:t xml:space="preserve">fixed </w:t>
      </w:r>
      <w:r w:rsidR="00310355">
        <w:t xml:space="preserve">broadband </w:t>
      </w:r>
      <w:r w:rsidR="00321630">
        <w:t xml:space="preserve">reasonable </w:t>
      </w:r>
      <w:r>
        <w:t xml:space="preserve">comparability benchmark </w:t>
      </w:r>
      <w:r w:rsidR="00321630">
        <w:t>was</w:t>
      </w:r>
      <w:r>
        <w:t xml:space="preserve"> calculated</w:t>
      </w:r>
      <w:r w:rsidR="00310355">
        <w:t xml:space="preserve"> for 2016</w:t>
      </w:r>
      <w:r>
        <w:t xml:space="preserve">. </w:t>
      </w:r>
    </w:p>
    <w:p w14:paraId="41A70038" w14:textId="344AE953" w:rsidR="009313C5" w:rsidRDefault="009313C5" w:rsidP="009313C5">
      <w:r w:rsidRPr="00D74E57">
        <w:t>The sampling unit for the</w:t>
      </w:r>
      <w:r w:rsidR="00F40260">
        <w:t xml:space="preserve"> 2016</w:t>
      </w:r>
      <w:r>
        <w:t xml:space="preserve"> fixed broadband survey was a (service provider, census tract) pair. The frame</w:t>
      </w:r>
      <w:r w:rsidR="00310355">
        <w:rPr>
          <w:rStyle w:val="FootnoteReference"/>
        </w:rPr>
        <w:footnoteReference w:id="2"/>
      </w:r>
      <w:r w:rsidR="00893453" w:rsidRPr="00893453">
        <w:t xml:space="preserve"> </w:t>
      </w:r>
      <w:r>
        <w:t xml:space="preserve">for the survey was the set of sampling units </w:t>
      </w:r>
      <w:r w:rsidR="00C079AE">
        <w:t xml:space="preserve">of </w:t>
      </w:r>
      <w:r>
        <w:t>providers offering fixed broadband service to residential customers in urban census tracts. The frame consisted of 145,217 sampling units</w:t>
      </w:r>
      <w:r w:rsidR="00C079AE">
        <w:t>,</w:t>
      </w:r>
      <w:r>
        <w:t xml:space="preserve"> encompassing 1,158 service providers and 58,044 census tracts.</w:t>
      </w:r>
    </w:p>
    <w:p w14:paraId="3EC04C1F" w14:textId="77777777" w:rsidR="009313C5" w:rsidRDefault="009313C5" w:rsidP="009313C5">
      <w:r>
        <w:t>For each sampling unit, the number of offers was calculated as:</w:t>
      </w:r>
    </w:p>
    <w:p w14:paraId="72350AB0" w14:textId="77777777" w:rsidR="009313C5" w:rsidRDefault="009313C5" w:rsidP="009313C5">
      <w:pPr>
        <w:jc w:val="center"/>
      </w:pPr>
      <w:r>
        <w:t>Offers = Provider Presence Ratio x (Number of households in the sampling unit’s census tract)</w:t>
      </w:r>
    </w:p>
    <w:p w14:paraId="77E80270" w14:textId="77777777" w:rsidR="009313C5" w:rsidRDefault="009313C5" w:rsidP="009313C5">
      <w:r>
        <w:t>Provider Presence Ratio was calculated as the fraction of housing units in the census tract for which the provider offered fixed broadband service.</w:t>
      </w:r>
    </w:p>
    <w:p w14:paraId="77CE143F" w14:textId="7D01C2F5" w:rsidR="00EF48CC" w:rsidRPr="0008402D" w:rsidRDefault="00EF48CC" w:rsidP="009313C5">
      <w:r w:rsidRPr="0008402D">
        <w:t xml:space="preserve">The 2016 Urban Rate Survey for fixed broadband services differed from the 2015 survey in two </w:t>
      </w:r>
      <w:r w:rsidR="000827E4" w:rsidRPr="0008402D">
        <w:t>significant</w:t>
      </w:r>
      <w:r w:rsidRPr="0008402D">
        <w:t xml:space="preserve"> ways.  </w:t>
      </w:r>
      <w:r w:rsidR="000A41A3" w:rsidRPr="0008402D">
        <w:t>First, t</w:t>
      </w:r>
      <w:r w:rsidRPr="0008402D">
        <w:t xml:space="preserve">he </w:t>
      </w:r>
      <w:r w:rsidR="000A41A3" w:rsidRPr="0008402D">
        <w:t xml:space="preserve">survey </w:t>
      </w:r>
      <w:r w:rsidRPr="0008402D">
        <w:t xml:space="preserve">sample </w:t>
      </w:r>
      <w:r w:rsidR="002A54A5" w:rsidRPr="0008402D">
        <w:t xml:space="preserve">was stratified in 2016 </w:t>
      </w:r>
      <w:r w:rsidRPr="0008402D">
        <w:t>to reduce the sample sizes requested from large national service providers</w:t>
      </w:r>
      <w:r w:rsidR="002A54A5" w:rsidRPr="0008402D">
        <w:t>,</w:t>
      </w:r>
      <w:r w:rsidRPr="0008402D">
        <w:t xml:space="preserve"> which had demonstrated little variation in rates across census tracts in past surveys. This reduced the burden on respondents and allowed for a broader representation of service providers in the sample while maintaining the precision of the survey. </w:t>
      </w:r>
      <w:r w:rsidR="000A41A3" w:rsidRPr="0008402D">
        <w:t xml:space="preserve">Second, the 2016 survey uses a different weighting mechanism that </w:t>
      </w:r>
      <w:r w:rsidRPr="0008402D">
        <w:t>use</w:t>
      </w:r>
      <w:r w:rsidR="000A41A3" w:rsidRPr="0008402D">
        <w:t>s</w:t>
      </w:r>
      <w:r w:rsidRPr="0008402D">
        <w:t xml:space="preserve"> weights equal to estimates of the number of households offered service by a service provider in a census tract based on number of subscribers.</w:t>
      </w:r>
    </w:p>
    <w:p w14:paraId="1AB2704F" w14:textId="38E5EA32" w:rsidR="00893453" w:rsidRPr="0027621F" w:rsidRDefault="00A53117" w:rsidP="009313C5">
      <w:pPr>
        <w:rPr>
          <w:b/>
        </w:rPr>
      </w:pPr>
      <w:r>
        <w:rPr>
          <w:b/>
        </w:rPr>
        <w:t>Stratification</w:t>
      </w:r>
    </w:p>
    <w:p w14:paraId="4A8B56A6" w14:textId="07636B10" w:rsidR="009313C5" w:rsidRDefault="001D60B2" w:rsidP="009313C5">
      <w:r>
        <w:t>The frame was divided into 24 strata</w:t>
      </w:r>
      <w:r w:rsidR="00310355">
        <w:t xml:space="preserve"> to reduce the burden </w:t>
      </w:r>
      <w:r w:rsidR="00C079AE">
        <w:t xml:space="preserve">on survey </w:t>
      </w:r>
      <w:r w:rsidR="00A53117">
        <w:t>respondents</w:t>
      </w:r>
      <w:r w:rsidR="00310355">
        <w:t xml:space="preserve">. Past Urban Rate Surveys </w:t>
      </w:r>
      <w:r w:rsidR="00A53117">
        <w:t xml:space="preserve">demonstrated </w:t>
      </w:r>
      <w:r w:rsidR="00310355">
        <w:t>that for many of the service providers (particularly the large national service providers)</w:t>
      </w:r>
      <w:r w:rsidR="00A53117">
        <w:t>,</w:t>
      </w:r>
      <w:r w:rsidR="00310355">
        <w:t xml:space="preserve"> the rates offered for services did not vary across </w:t>
      </w:r>
      <w:r w:rsidR="00A53117">
        <w:t xml:space="preserve">census </w:t>
      </w:r>
      <w:r w:rsidR="00310355">
        <w:t>tracts. Stratification allow</w:t>
      </w:r>
      <w:r w:rsidR="00A53117">
        <w:t>s</w:t>
      </w:r>
      <w:r w:rsidR="00310355">
        <w:t xml:space="preserve"> us to reduce the number of survey responses requested in such cases </w:t>
      </w:r>
      <w:r w:rsidR="00A53117">
        <w:t>while still capturing</w:t>
      </w:r>
      <w:r w:rsidR="00310355">
        <w:t xml:space="preserve"> the offered rates </w:t>
      </w:r>
      <w:r w:rsidR="00CD7C11">
        <w:t xml:space="preserve">in accordance with their estimated effect on the </w:t>
      </w:r>
      <w:r w:rsidR="00321630">
        <w:t xml:space="preserve">reasonable </w:t>
      </w:r>
      <w:r w:rsidR="00CD7C11">
        <w:t xml:space="preserve">comparability benchmark. </w:t>
      </w:r>
      <w:r>
        <w:t xml:space="preserve">The following 22 strata contained </w:t>
      </w:r>
      <w:r w:rsidR="008F4126">
        <w:t xml:space="preserve">sampling units from </w:t>
      </w:r>
      <w:r w:rsidR="009313C5">
        <w:t>the service providers indicated in parentheses:</w:t>
      </w:r>
    </w:p>
    <w:p w14:paraId="5E87F0E0" w14:textId="77777777" w:rsidR="009313C5" w:rsidRDefault="009313C5" w:rsidP="009313C5">
      <w:pPr>
        <w:pStyle w:val="ListParagraph"/>
        <w:numPr>
          <w:ilvl w:val="0"/>
          <w:numId w:val="9"/>
        </w:numPr>
      </w:pPr>
      <w:r>
        <w:t>AT&amp;T (</w:t>
      </w:r>
      <w:r w:rsidRPr="00D105FD">
        <w:t>AT&amp;T Services, Inc.</w:t>
      </w:r>
      <w:r>
        <w:t>)</w:t>
      </w:r>
    </w:p>
    <w:p w14:paraId="2030A1A9" w14:textId="77777777" w:rsidR="009313C5" w:rsidRDefault="009313C5" w:rsidP="009313C5">
      <w:pPr>
        <w:pStyle w:val="ListParagraph"/>
        <w:numPr>
          <w:ilvl w:val="0"/>
          <w:numId w:val="9"/>
        </w:numPr>
      </w:pPr>
      <w:r>
        <w:t>COMCAST (</w:t>
      </w:r>
      <w:r w:rsidRPr="00D105FD">
        <w:t>COMCAST CABLE COMMUNICATIONS, INC.</w:t>
      </w:r>
      <w:r>
        <w:t>)</w:t>
      </w:r>
    </w:p>
    <w:p w14:paraId="04B69389" w14:textId="77777777" w:rsidR="001D60B2" w:rsidRDefault="00F46411" w:rsidP="009313C5">
      <w:pPr>
        <w:pStyle w:val="ListParagraph"/>
        <w:numPr>
          <w:ilvl w:val="0"/>
          <w:numId w:val="9"/>
        </w:numPr>
      </w:pPr>
      <w:r w:rsidRPr="00D105FD">
        <w:t>Verizon New York Inc.</w:t>
      </w:r>
      <w:r>
        <w:t xml:space="preserve"> </w:t>
      </w:r>
      <w:r w:rsidR="009313C5">
        <w:t>(</w:t>
      </w:r>
      <w:r w:rsidR="009313C5" w:rsidRPr="00D105FD">
        <w:t>Verizon New York Inc.</w:t>
      </w:r>
      <w:r>
        <w:t>)</w:t>
      </w:r>
    </w:p>
    <w:p w14:paraId="6B4698A7" w14:textId="77777777" w:rsidR="001D60B2" w:rsidRDefault="00F46411" w:rsidP="009313C5">
      <w:pPr>
        <w:pStyle w:val="ListParagraph"/>
        <w:numPr>
          <w:ilvl w:val="0"/>
          <w:numId w:val="9"/>
        </w:numPr>
      </w:pPr>
      <w:r w:rsidRPr="00D105FD">
        <w:lastRenderedPageBreak/>
        <w:t>Verizon Pennsylvania LLC</w:t>
      </w:r>
      <w:r>
        <w:t xml:space="preserve"> </w:t>
      </w:r>
      <w:r w:rsidR="001D60B2">
        <w:t>(</w:t>
      </w:r>
      <w:r w:rsidR="009313C5" w:rsidRPr="00D105FD">
        <w:t>Verizon Pennsylvania LLC</w:t>
      </w:r>
      <w:r w:rsidR="001D60B2">
        <w:t>)</w:t>
      </w:r>
    </w:p>
    <w:p w14:paraId="0E5B2D1E" w14:textId="77777777" w:rsidR="001D60B2" w:rsidRDefault="00F46411" w:rsidP="009313C5">
      <w:pPr>
        <w:pStyle w:val="ListParagraph"/>
        <w:numPr>
          <w:ilvl w:val="0"/>
          <w:numId w:val="9"/>
        </w:numPr>
      </w:pPr>
      <w:r w:rsidRPr="00D105FD">
        <w:t xml:space="preserve">Verizon </w:t>
      </w:r>
      <w:r>
        <w:t xml:space="preserve">New Jersey Inc. </w:t>
      </w:r>
      <w:r w:rsidR="001D60B2">
        <w:t>(</w:t>
      </w:r>
      <w:r w:rsidR="009313C5" w:rsidRPr="00D105FD">
        <w:t xml:space="preserve">Verizon </w:t>
      </w:r>
      <w:r w:rsidR="001D60B2">
        <w:t>New Jersey Inc.)</w:t>
      </w:r>
    </w:p>
    <w:p w14:paraId="5ADE817B" w14:textId="77777777" w:rsidR="001D60B2" w:rsidRDefault="00F46411" w:rsidP="009313C5">
      <w:pPr>
        <w:pStyle w:val="ListParagraph"/>
        <w:numPr>
          <w:ilvl w:val="0"/>
          <w:numId w:val="9"/>
        </w:numPr>
      </w:pPr>
      <w:r w:rsidRPr="00D105FD">
        <w:t xml:space="preserve">Verizon </w:t>
      </w:r>
      <w:r>
        <w:t xml:space="preserve">California Inc. </w:t>
      </w:r>
      <w:r w:rsidR="001D60B2">
        <w:t>(</w:t>
      </w:r>
      <w:r w:rsidR="009313C5" w:rsidRPr="00D105FD">
        <w:t xml:space="preserve">Verizon </w:t>
      </w:r>
      <w:r w:rsidR="001D60B2">
        <w:t>California Inc.)</w:t>
      </w:r>
    </w:p>
    <w:p w14:paraId="251A449F" w14:textId="77777777" w:rsidR="001D60B2" w:rsidRDefault="00F46411" w:rsidP="009313C5">
      <w:pPr>
        <w:pStyle w:val="ListParagraph"/>
        <w:numPr>
          <w:ilvl w:val="0"/>
          <w:numId w:val="9"/>
        </w:numPr>
      </w:pPr>
      <w:r w:rsidRPr="00D105FD">
        <w:t xml:space="preserve">Verizon </w:t>
      </w:r>
      <w:r>
        <w:t xml:space="preserve">New England Inc. </w:t>
      </w:r>
      <w:r w:rsidR="001D60B2">
        <w:t>(</w:t>
      </w:r>
      <w:r w:rsidR="009313C5" w:rsidRPr="00D105FD">
        <w:t xml:space="preserve">Verizon </w:t>
      </w:r>
      <w:r w:rsidR="009313C5">
        <w:t>Ne</w:t>
      </w:r>
      <w:r w:rsidR="001D60B2">
        <w:t>w England Inc.)</w:t>
      </w:r>
    </w:p>
    <w:p w14:paraId="7BC741AE" w14:textId="77777777" w:rsidR="001D60B2" w:rsidRDefault="00F46411" w:rsidP="009313C5">
      <w:pPr>
        <w:pStyle w:val="ListParagraph"/>
        <w:numPr>
          <w:ilvl w:val="0"/>
          <w:numId w:val="9"/>
        </w:numPr>
      </w:pPr>
      <w:r w:rsidRPr="00D105FD">
        <w:t xml:space="preserve">Verizon </w:t>
      </w:r>
      <w:r>
        <w:t>Virginia</w:t>
      </w:r>
      <w:r w:rsidRPr="00D105FD">
        <w:t xml:space="preserve"> LLC</w:t>
      </w:r>
      <w:r>
        <w:t xml:space="preserve"> </w:t>
      </w:r>
      <w:r w:rsidR="001D60B2">
        <w:t>(</w:t>
      </w:r>
      <w:r w:rsidR="009313C5" w:rsidRPr="00D105FD">
        <w:t xml:space="preserve">Verizon </w:t>
      </w:r>
      <w:r w:rsidR="009313C5">
        <w:t>Virginia</w:t>
      </w:r>
      <w:r w:rsidR="009313C5" w:rsidRPr="00D105FD">
        <w:t xml:space="preserve"> LLC</w:t>
      </w:r>
      <w:r w:rsidR="001D60B2">
        <w:t>)</w:t>
      </w:r>
    </w:p>
    <w:p w14:paraId="262F99B6" w14:textId="77777777" w:rsidR="001D60B2" w:rsidRDefault="00F46411" w:rsidP="009313C5">
      <w:pPr>
        <w:pStyle w:val="ListParagraph"/>
        <w:numPr>
          <w:ilvl w:val="0"/>
          <w:numId w:val="9"/>
        </w:numPr>
      </w:pPr>
      <w:r w:rsidRPr="00D105FD">
        <w:t xml:space="preserve">Verizon </w:t>
      </w:r>
      <w:r>
        <w:t>Maryland</w:t>
      </w:r>
      <w:r w:rsidRPr="00D105FD">
        <w:t xml:space="preserve"> LLC</w:t>
      </w:r>
      <w:r>
        <w:t xml:space="preserve"> </w:t>
      </w:r>
      <w:r w:rsidR="001D60B2">
        <w:t>(</w:t>
      </w:r>
      <w:r w:rsidR="009313C5" w:rsidRPr="00D105FD">
        <w:t xml:space="preserve">Verizon </w:t>
      </w:r>
      <w:r w:rsidR="009313C5">
        <w:t>Maryland</w:t>
      </w:r>
      <w:r w:rsidR="009313C5" w:rsidRPr="00D105FD">
        <w:t xml:space="preserve"> LLC</w:t>
      </w:r>
      <w:r w:rsidR="001D60B2">
        <w:t>)</w:t>
      </w:r>
    </w:p>
    <w:p w14:paraId="0B28AB5E" w14:textId="77777777" w:rsidR="001D60B2" w:rsidRDefault="00F46411" w:rsidP="009313C5">
      <w:pPr>
        <w:pStyle w:val="ListParagraph"/>
        <w:numPr>
          <w:ilvl w:val="0"/>
          <w:numId w:val="9"/>
        </w:numPr>
      </w:pPr>
      <w:r w:rsidRPr="00D105FD">
        <w:t xml:space="preserve">Verizon </w:t>
      </w:r>
      <w:r>
        <w:t>Florida</w:t>
      </w:r>
      <w:r w:rsidRPr="00D105FD">
        <w:t xml:space="preserve"> LLC</w:t>
      </w:r>
      <w:r>
        <w:t xml:space="preserve"> </w:t>
      </w:r>
      <w:r w:rsidR="001D60B2">
        <w:t>(</w:t>
      </w:r>
      <w:r w:rsidR="009313C5" w:rsidRPr="00D105FD">
        <w:t xml:space="preserve">Verizon </w:t>
      </w:r>
      <w:r w:rsidR="009313C5">
        <w:t>Florida</w:t>
      </w:r>
      <w:r w:rsidR="009313C5" w:rsidRPr="00D105FD">
        <w:t xml:space="preserve"> LLC</w:t>
      </w:r>
      <w:r w:rsidR="001D60B2">
        <w:t>)</w:t>
      </w:r>
    </w:p>
    <w:p w14:paraId="3242FD3B" w14:textId="77777777" w:rsidR="001D60B2" w:rsidRDefault="00F46411" w:rsidP="009313C5">
      <w:pPr>
        <w:pStyle w:val="ListParagraph"/>
        <w:numPr>
          <w:ilvl w:val="0"/>
          <w:numId w:val="9"/>
        </w:numPr>
      </w:pPr>
      <w:r w:rsidRPr="00D105FD">
        <w:t xml:space="preserve">Verizon </w:t>
      </w:r>
      <w:r>
        <w:t>Delaware</w:t>
      </w:r>
      <w:r w:rsidRPr="00D105FD">
        <w:t xml:space="preserve"> LLC</w:t>
      </w:r>
      <w:r>
        <w:t xml:space="preserve"> </w:t>
      </w:r>
      <w:r w:rsidR="001D60B2">
        <w:t>(</w:t>
      </w:r>
      <w:r w:rsidR="009313C5" w:rsidRPr="00D105FD">
        <w:t xml:space="preserve">Verizon </w:t>
      </w:r>
      <w:r w:rsidR="009313C5">
        <w:t>Delaware</w:t>
      </w:r>
      <w:r w:rsidR="009313C5" w:rsidRPr="00D105FD">
        <w:t xml:space="preserve"> LLC</w:t>
      </w:r>
      <w:r w:rsidR="001D60B2">
        <w:t>)</w:t>
      </w:r>
    </w:p>
    <w:p w14:paraId="4EF9903B" w14:textId="3E9E8A95" w:rsidR="001D60B2" w:rsidRDefault="00CD7C11" w:rsidP="00CD7C11">
      <w:pPr>
        <w:pStyle w:val="ListParagraph"/>
        <w:numPr>
          <w:ilvl w:val="0"/>
          <w:numId w:val="9"/>
        </w:numPr>
      </w:pPr>
      <w:r w:rsidRPr="00CD7C11">
        <w:t xml:space="preserve">GTE Southwest Incorporated dba Verizon Southwest </w:t>
      </w:r>
      <w:r w:rsidR="001D60B2">
        <w:t>(</w:t>
      </w:r>
      <w:r w:rsidR="009313C5" w:rsidRPr="007034AC">
        <w:t>GTE Southwest Incorporated dba Verizon Southwest</w:t>
      </w:r>
      <w:r w:rsidR="001D60B2">
        <w:t>)</w:t>
      </w:r>
      <w:r w:rsidR="00893453">
        <w:t xml:space="preserve"> </w:t>
      </w:r>
    </w:p>
    <w:p w14:paraId="571F126E" w14:textId="77777777" w:rsidR="009313C5" w:rsidRDefault="00F46411" w:rsidP="009313C5">
      <w:pPr>
        <w:pStyle w:val="ListParagraph"/>
        <w:numPr>
          <w:ilvl w:val="0"/>
          <w:numId w:val="9"/>
        </w:numPr>
      </w:pPr>
      <w:r w:rsidRPr="007034AC">
        <w:t>Verizon Washington, DC Inc.</w:t>
      </w:r>
      <w:r>
        <w:t xml:space="preserve"> </w:t>
      </w:r>
      <w:r w:rsidR="001D60B2">
        <w:t>(</w:t>
      </w:r>
      <w:r w:rsidR="009313C5" w:rsidRPr="007034AC">
        <w:t>Verizon Washington, DC Inc.</w:t>
      </w:r>
      <w:r w:rsidR="009313C5">
        <w:t>)</w:t>
      </w:r>
    </w:p>
    <w:p w14:paraId="5E12EE7C" w14:textId="77777777" w:rsidR="009313C5" w:rsidRDefault="009313C5" w:rsidP="009313C5">
      <w:pPr>
        <w:pStyle w:val="ListParagraph"/>
        <w:numPr>
          <w:ilvl w:val="0"/>
          <w:numId w:val="9"/>
        </w:numPr>
      </w:pPr>
      <w:r>
        <w:t>Time Warner (</w:t>
      </w:r>
      <w:r w:rsidRPr="007034AC">
        <w:t>Time Warner Cable Inc.</w:t>
      </w:r>
      <w:r>
        <w:t>)</w:t>
      </w:r>
    </w:p>
    <w:p w14:paraId="1753F3CD" w14:textId="16C1B847" w:rsidR="009313C5" w:rsidRDefault="009313C5" w:rsidP="009313C5">
      <w:pPr>
        <w:pStyle w:val="ListParagraph"/>
        <w:numPr>
          <w:ilvl w:val="0"/>
          <w:numId w:val="9"/>
        </w:numPr>
      </w:pPr>
      <w:r>
        <w:t>CenturyLink (</w:t>
      </w:r>
      <w:r w:rsidRPr="007034AC">
        <w:t>CenturyLink, Inc.</w:t>
      </w:r>
      <w:r>
        <w:t xml:space="preserve">, </w:t>
      </w:r>
      <w:r w:rsidRPr="007034AC">
        <w:t>CenturyL</w:t>
      </w:r>
      <w:r w:rsidR="0003397D">
        <w:t>i</w:t>
      </w:r>
      <w:r w:rsidRPr="007034AC">
        <w:t>nk Communications, LLC</w:t>
      </w:r>
      <w:r>
        <w:t>)</w:t>
      </w:r>
    </w:p>
    <w:p w14:paraId="0ABCB068" w14:textId="77777777" w:rsidR="009313C5" w:rsidRDefault="009313C5" w:rsidP="009313C5">
      <w:pPr>
        <w:pStyle w:val="ListParagraph"/>
        <w:numPr>
          <w:ilvl w:val="0"/>
          <w:numId w:val="9"/>
        </w:numPr>
      </w:pPr>
      <w:r>
        <w:t>Cox (</w:t>
      </w:r>
      <w:r w:rsidRPr="007034AC">
        <w:t>Cox Communications</w:t>
      </w:r>
      <w:r>
        <w:t>)</w:t>
      </w:r>
    </w:p>
    <w:p w14:paraId="03C82A5A" w14:textId="77777777" w:rsidR="009313C5" w:rsidRDefault="009313C5" w:rsidP="009313C5">
      <w:pPr>
        <w:pStyle w:val="ListParagraph"/>
        <w:numPr>
          <w:ilvl w:val="0"/>
          <w:numId w:val="9"/>
        </w:numPr>
      </w:pPr>
      <w:r>
        <w:t>Charter (</w:t>
      </w:r>
      <w:r w:rsidRPr="007034AC">
        <w:t>Charter Communications, Inc.</w:t>
      </w:r>
      <w:r>
        <w:t>)</w:t>
      </w:r>
    </w:p>
    <w:p w14:paraId="310D6463" w14:textId="77777777" w:rsidR="009313C5" w:rsidRDefault="009313C5" w:rsidP="009313C5">
      <w:pPr>
        <w:pStyle w:val="ListParagraph"/>
        <w:numPr>
          <w:ilvl w:val="0"/>
          <w:numId w:val="9"/>
        </w:numPr>
      </w:pPr>
      <w:r>
        <w:t>Frontier (</w:t>
      </w:r>
      <w:r w:rsidRPr="007034AC">
        <w:t>Frontier Communications Corporation</w:t>
      </w:r>
      <w:r>
        <w:t>)</w:t>
      </w:r>
    </w:p>
    <w:p w14:paraId="69D0EB73" w14:textId="77777777" w:rsidR="009313C5" w:rsidRDefault="009313C5" w:rsidP="009313C5">
      <w:pPr>
        <w:pStyle w:val="ListParagraph"/>
        <w:numPr>
          <w:ilvl w:val="0"/>
          <w:numId w:val="9"/>
        </w:numPr>
      </w:pPr>
      <w:r>
        <w:t>CSC Holdings (</w:t>
      </w:r>
      <w:r w:rsidRPr="007034AC">
        <w:t>CSC Holdings LLC</w:t>
      </w:r>
      <w:r>
        <w:t>)</w:t>
      </w:r>
    </w:p>
    <w:p w14:paraId="0EE5918B" w14:textId="77777777" w:rsidR="009313C5" w:rsidRDefault="009313C5" w:rsidP="009313C5">
      <w:pPr>
        <w:pStyle w:val="ListParagraph"/>
        <w:numPr>
          <w:ilvl w:val="0"/>
          <w:numId w:val="9"/>
        </w:numPr>
      </w:pPr>
      <w:r>
        <w:t>Bright House (</w:t>
      </w:r>
      <w:r w:rsidRPr="007034AC">
        <w:t>Bright House Networks, LLC</w:t>
      </w:r>
      <w:r>
        <w:t>)</w:t>
      </w:r>
    </w:p>
    <w:p w14:paraId="180D3127" w14:textId="77777777" w:rsidR="009313C5" w:rsidRDefault="009313C5" w:rsidP="009313C5">
      <w:pPr>
        <w:pStyle w:val="ListParagraph"/>
        <w:numPr>
          <w:ilvl w:val="0"/>
          <w:numId w:val="9"/>
        </w:numPr>
      </w:pPr>
      <w:r>
        <w:t>Windstream (service providers identifying Windstream as their holding company)</w:t>
      </w:r>
    </w:p>
    <w:p w14:paraId="4D236CB9" w14:textId="77777777" w:rsidR="009313C5" w:rsidRDefault="009313C5" w:rsidP="009313C5">
      <w:pPr>
        <w:pStyle w:val="ListParagraph"/>
        <w:numPr>
          <w:ilvl w:val="0"/>
          <w:numId w:val="9"/>
        </w:numPr>
      </w:pPr>
      <w:proofErr w:type="spellStart"/>
      <w:r>
        <w:t>WideOpenWest</w:t>
      </w:r>
      <w:proofErr w:type="spellEnd"/>
      <w:r>
        <w:t xml:space="preserve"> (</w:t>
      </w:r>
      <w:proofErr w:type="spellStart"/>
      <w:r>
        <w:t>Knology</w:t>
      </w:r>
      <w:proofErr w:type="spellEnd"/>
      <w:r>
        <w:t xml:space="preserve"> and </w:t>
      </w:r>
      <w:proofErr w:type="spellStart"/>
      <w:r>
        <w:t>WideOpenWest</w:t>
      </w:r>
      <w:proofErr w:type="spellEnd"/>
      <w:r>
        <w:t>)</w:t>
      </w:r>
    </w:p>
    <w:p w14:paraId="630EE0F4" w14:textId="20C72AC6" w:rsidR="009313C5" w:rsidRDefault="009313C5" w:rsidP="009313C5">
      <w:r>
        <w:t xml:space="preserve">The remaining sampling units were divided into two strata </w:t>
      </w:r>
      <w:r w:rsidR="00A53117">
        <w:t xml:space="preserve">based </w:t>
      </w:r>
      <w:r>
        <w:t>on the number of offers in the sampling unit:</w:t>
      </w:r>
    </w:p>
    <w:p w14:paraId="4CD8D21F" w14:textId="77777777" w:rsidR="009313C5" w:rsidRDefault="009313C5" w:rsidP="009313C5">
      <w:r>
        <w:t>Major – Remaining sampling units with at least 500 offers</w:t>
      </w:r>
    </w:p>
    <w:p w14:paraId="3501D52A" w14:textId="13C0C380" w:rsidR="009313C5" w:rsidRDefault="009313C5" w:rsidP="001D60B2">
      <w:r>
        <w:t xml:space="preserve">Minor – Remaining sampling units with </w:t>
      </w:r>
      <w:r w:rsidR="00A53117">
        <w:t xml:space="preserve">fewer </w:t>
      </w:r>
      <w:r>
        <w:t>than 500 offers</w:t>
      </w:r>
    </w:p>
    <w:p w14:paraId="225B874C" w14:textId="77777777" w:rsidR="009313C5" w:rsidRDefault="009313C5" w:rsidP="009313C5">
      <w:r>
        <w:br w:type="page"/>
      </w:r>
    </w:p>
    <w:p w14:paraId="2C623CB0" w14:textId="40F1EAB9" w:rsidR="009313C5" w:rsidRDefault="009313C5" w:rsidP="009313C5">
      <w:r>
        <w:lastRenderedPageBreak/>
        <w:t xml:space="preserve">The table below presents the sampling plan </w:t>
      </w:r>
      <w:r w:rsidR="008F4126">
        <w:t>including the sample size for each stratum</w:t>
      </w:r>
      <w:r>
        <w:t xml:space="preserve">. </w:t>
      </w:r>
      <w:r w:rsidR="005144C3">
        <w:t xml:space="preserve"> </w:t>
      </w:r>
      <w:r>
        <w:t xml:space="preserve">Sampling units </w:t>
      </w:r>
      <w:r w:rsidR="001D60B2">
        <w:t>were</w:t>
      </w:r>
      <w:r>
        <w:t xml:space="preserve"> selected randomly from each stratum, unweighted and without replacement.</w:t>
      </w:r>
      <w:r w:rsidR="00893453">
        <w:t xml:space="preserve"> </w:t>
      </w:r>
      <w:r w:rsidR="00CD7C11">
        <w:t>The sample sizes for each stratum are a reflection of the estimated number of offers in the stratum and the estimated variability of offered rates from the previous Urban Rate Survey</w:t>
      </w:r>
      <w:r w:rsidR="00856132">
        <w:t>.</w:t>
      </w:r>
    </w:p>
    <w:p w14:paraId="4FBEE9C1" w14:textId="77777777" w:rsidR="00D679CD" w:rsidRDefault="00D679CD" w:rsidP="009313C5">
      <w:r w:rsidRPr="00D679CD">
        <w:rPr>
          <w:noProof/>
        </w:rPr>
        <w:drawing>
          <wp:inline distT="0" distB="0" distL="0" distR="0" wp14:anchorId="05DE3AE6" wp14:editId="39864A4B">
            <wp:extent cx="5943600" cy="43508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50801"/>
                    </a:xfrm>
                    <a:prstGeom prst="rect">
                      <a:avLst/>
                    </a:prstGeom>
                    <a:noFill/>
                    <a:ln>
                      <a:noFill/>
                    </a:ln>
                  </pic:spPr>
                </pic:pic>
              </a:graphicData>
            </a:graphic>
          </wp:inline>
        </w:drawing>
      </w:r>
    </w:p>
    <w:p w14:paraId="6A1A6555" w14:textId="77777777" w:rsidR="00C844DF" w:rsidRDefault="00C844DF" w:rsidP="00224E0D">
      <w:pPr>
        <w:rPr>
          <w:b/>
        </w:rPr>
      </w:pPr>
    </w:p>
    <w:p w14:paraId="11AE4E04" w14:textId="77777777" w:rsidR="00C844DF" w:rsidRPr="00224E0D" w:rsidRDefault="00224E0D" w:rsidP="00224E0D">
      <w:pPr>
        <w:rPr>
          <w:b/>
        </w:rPr>
      </w:pPr>
      <w:r>
        <w:rPr>
          <w:b/>
        </w:rPr>
        <w:t>Data Preparation</w:t>
      </w:r>
    </w:p>
    <w:p w14:paraId="66F3A4A6" w14:textId="02FB43C9" w:rsidR="00DC5F72" w:rsidRDefault="00DC5F72" w:rsidP="00D819EF">
      <w:r>
        <w:t xml:space="preserve">The table below presents the number of responses, the number of different service providers, and the number of different census tracts requested, received, and received with rates in the </w:t>
      </w:r>
      <w:r w:rsidR="009313C5">
        <w:t>2016</w:t>
      </w:r>
      <w:r>
        <w:t xml:space="preserve"> Urban Rate Survey for fixed broadband service.</w:t>
      </w:r>
      <w:r w:rsidR="00BA7972">
        <w:t xml:space="preserve"> </w:t>
      </w:r>
      <w:r w:rsidR="005144C3">
        <w:t xml:space="preserve"> T</w:t>
      </w:r>
      <w:r w:rsidR="00BA7972">
        <w:t xml:space="preserve">he only non-response sampling units were in the Major and Minor strata. </w:t>
      </w:r>
    </w:p>
    <w:tbl>
      <w:tblPr>
        <w:tblStyle w:val="TableGrid"/>
        <w:tblW w:w="0" w:type="auto"/>
        <w:jc w:val="center"/>
        <w:tblLook w:val="04A0" w:firstRow="1" w:lastRow="0" w:firstColumn="1" w:lastColumn="0" w:noHBand="0" w:noVBand="1"/>
      </w:tblPr>
      <w:tblGrid>
        <w:gridCol w:w="1818"/>
        <w:gridCol w:w="1440"/>
        <w:gridCol w:w="2070"/>
        <w:gridCol w:w="1800"/>
      </w:tblGrid>
      <w:tr w:rsidR="00DC5F72" w14:paraId="45849657" w14:textId="77777777" w:rsidTr="00DC5F72">
        <w:trPr>
          <w:jc w:val="center"/>
        </w:trPr>
        <w:tc>
          <w:tcPr>
            <w:tcW w:w="1818" w:type="dxa"/>
          </w:tcPr>
          <w:p w14:paraId="2C007329" w14:textId="77777777" w:rsidR="00DC5F72" w:rsidRDefault="003768F8" w:rsidP="00D819EF">
            <w:r>
              <w:t>Survey Status</w:t>
            </w:r>
          </w:p>
        </w:tc>
        <w:tc>
          <w:tcPr>
            <w:tcW w:w="1440" w:type="dxa"/>
          </w:tcPr>
          <w:p w14:paraId="284EB33A" w14:textId="77777777" w:rsidR="00DC5F72" w:rsidRDefault="00DC5F72" w:rsidP="00DC5F72">
            <w:pPr>
              <w:jc w:val="center"/>
            </w:pPr>
            <w:r>
              <w:t>Responses</w:t>
            </w:r>
          </w:p>
        </w:tc>
        <w:tc>
          <w:tcPr>
            <w:tcW w:w="2070" w:type="dxa"/>
          </w:tcPr>
          <w:p w14:paraId="6E3E8EE9" w14:textId="77777777" w:rsidR="00DC5F72" w:rsidRDefault="00DC5F72" w:rsidP="00DC5F72">
            <w:pPr>
              <w:jc w:val="center"/>
            </w:pPr>
            <w:r>
              <w:t>Service Providers</w:t>
            </w:r>
          </w:p>
        </w:tc>
        <w:tc>
          <w:tcPr>
            <w:tcW w:w="1800" w:type="dxa"/>
          </w:tcPr>
          <w:p w14:paraId="70FD6E7D" w14:textId="77777777" w:rsidR="00DC5F72" w:rsidRDefault="00DC5F72" w:rsidP="00DC5F72">
            <w:pPr>
              <w:jc w:val="center"/>
            </w:pPr>
            <w:r>
              <w:t>Census Tracts</w:t>
            </w:r>
          </w:p>
        </w:tc>
      </w:tr>
      <w:tr w:rsidR="00DC5F72" w14:paraId="569364C7" w14:textId="77777777" w:rsidTr="00DC5F72">
        <w:trPr>
          <w:jc w:val="center"/>
        </w:trPr>
        <w:tc>
          <w:tcPr>
            <w:tcW w:w="1818" w:type="dxa"/>
          </w:tcPr>
          <w:p w14:paraId="0A8854DC" w14:textId="77777777" w:rsidR="00DC5F72" w:rsidRDefault="00DC5F72" w:rsidP="00D819EF">
            <w:r>
              <w:t>Requested</w:t>
            </w:r>
          </w:p>
        </w:tc>
        <w:tc>
          <w:tcPr>
            <w:tcW w:w="1440" w:type="dxa"/>
          </w:tcPr>
          <w:p w14:paraId="2B2C39D0" w14:textId="77777777" w:rsidR="00DC5F72" w:rsidRDefault="00816280" w:rsidP="001B0AD6">
            <w:pPr>
              <w:jc w:val="center"/>
            </w:pPr>
            <w:r>
              <w:t>500</w:t>
            </w:r>
          </w:p>
        </w:tc>
        <w:tc>
          <w:tcPr>
            <w:tcW w:w="2070" w:type="dxa"/>
          </w:tcPr>
          <w:p w14:paraId="5AB2BBC0" w14:textId="77777777" w:rsidR="00DC5F72" w:rsidRDefault="00816280" w:rsidP="00DC5F72">
            <w:pPr>
              <w:jc w:val="center"/>
            </w:pPr>
            <w:r>
              <w:t>177</w:t>
            </w:r>
          </w:p>
        </w:tc>
        <w:tc>
          <w:tcPr>
            <w:tcW w:w="1800" w:type="dxa"/>
          </w:tcPr>
          <w:p w14:paraId="15D990C4" w14:textId="77777777" w:rsidR="00DC5F72" w:rsidRDefault="00816280" w:rsidP="00DC5F72">
            <w:pPr>
              <w:jc w:val="center"/>
            </w:pPr>
            <w:r>
              <w:t>498</w:t>
            </w:r>
          </w:p>
        </w:tc>
      </w:tr>
      <w:tr w:rsidR="00DC5F72" w14:paraId="59FFD35C" w14:textId="77777777" w:rsidTr="00DC5F72">
        <w:trPr>
          <w:jc w:val="center"/>
        </w:trPr>
        <w:tc>
          <w:tcPr>
            <w:tcW w:w="1818" w:type="dxa"/>
          </w:tcPr>
          <w:p w14:paraId="6F8DFB42" w14:textId="77777777" w:rsidR="00DC5F72" w:rsidRDefault="00DC5F72" w:rsidP="00D819EF">
            <w:r>
              <w:t>Received</w:t>
            </w:r>
          </w:p>
        </w:tc>
        <w:tc>
          <w:tcPr>
            <w:tcW w:w="1440" w:type="dxa"/>
          </w:tcPr>
          <w:p w14:paraId="34ED126E" w14:textId="77777777" w:rsidR="00DC5F72" w:rsidRDefault="00011324" w:rsidP="00DC5F72">
            <w:pPr>
              <w:jc w:val="center"/>
            </w:pPr>
            <w:r>
              <w:t>467</w:t>
            </w:r>
          </w:p>
        </w:tc>
        <w:tc>
          <w:tcPr>
            <w:tcW w:w="2070" w:type="dxa"/>
          </w:tcPr>
          <w:p w14:paraId="05E8DEC1" w14:textId="77777777" w:rsidR="00DC5F72" w:rsidRDefault="00011324" w:rsidP="00DC5F72">
            <w:pPr>
              <w:jc w:val="center"/>
            </w:pPr>
            <w:r>
              <w:t>157</w:t>
            </w:r>
          </w:p>
        </w:tc>
        <w:tc>
          <w:tcPr>
            <w:tcW w:w="1800" w:type="dxa"/>
          </w:tcPr>
          <w:p w14:paraId="51B64EF4" w14:textId="77777777" w:rsidR="00DC5F72" w:rsidRDefault="00011324" w:rsidP="00DC5F72">
            <w:pPr>
              <w:jc w:val="center"/>
            </w:pPr>
            <w:r>
              <w:t>465</w:t>
            </w:r>
          </w:p>
        </w:tc>
      </w:tr>
      <w:tr w:rsidR="00DC5F72" w14:paraId="53BF574C" w14:textId="77777777" w:rsidTr="00DC5F72">
        <w:trPr>
          <w:jc w:val="center"/>
        </w:trPr>
        <w:tc>
          <w:tcPr>
            <w:tcW w:w="1818" w:type="dxa"/>
          </w:tcPr>
          <w:p w14:paraId="465C5FC4" w14:textId="77777777" w:rsidR="00DC5F72" w:rsidRDefault="00DC5F72" w:rsidP="00D819EF">
            <w:r>
              <w:t>Rates Provided</w:t>
            </w:r>
          </w:p>
        </w:tc>
        <w:tc>
          <w:tcPr>
            <w:tcW w:w="1440" w:type="dxa"/>
          </w:tcPr>
          <w:p w14:paraId="60D2B8E5" w14:textId="77777777" w:rsidR="00DC5F72" w:rsidRDefault="00D15918" w:rsidP="00DC5F72">
            <w:pPr>
              <w:jc w:val="center"/>
            </w:pPr>
            <w:r>
              <w:t>446</w:t>
            </w:r>
          </w:p>
        </w:tc>
        <w:tc>
          <w:tcPr>
            <w:tcW w:w="2070" w:type="dxa"/>
          </w:tcPr>
          <w:p w14:paraId="0F0C091A" w14:textId="77777777" w:rsidR="00DC5F72" w:rsidRDefault="00C75012" w:rsidP="00DC5F72">
            <w:pPr>
              <w:jc w:val="center"/>
            </w:pPr>
            <w:r>
              <w:t>147</w:t>
            </w:r>
          </w:p>
        </w:tc>
        <w:tc>
          <w:tcPr>
            <w:tcW w:w="1800" w:type="dxa"/>
          </w:tcPr>
          <w:p w14:paraId="5BC5F11A" w14:textId="77777777" w:rsidR="00DC5F72" w:rsidRDefault="00D15918" w:rsidP="00DC5F72">
            <w:pPr>
              <w:jc w:val="center"/>
            </w:pPr>
            <w:r>
              <w:t>444</w:t>
            </w:r>
          </w:p>
        </w:tc>
      </w:tr>
    </w:tbl>
    <w:p w14:paraId="6E84EB2E" w14:textId="77777777" w:rsidR="00DC5F72" w:rsidRDefault="00DC5F72" w:rsidP="00D819EF"/>
    <w:p w14:paraId="7C3F251D" w14:textId="77777777" w:rsidR="005B5F78" w:rsidRDefault="005B5F78" w:rsidP="00D819EF">
      <w:r>
        <w:lastRenderedPageBreak/>
        <w:t>The table below presents the number of responses, the number of different service providers, the number of different census t</w:t>
      </w:r>
      <w:r w:rsidR="001D250C">
        <w:t xml:space="preserve">racts, and the number of rates </w:t>
      </w:r>
      <w:r>
        <w:t>for each technology among responses received with rates.</w:t>
      </w:r>
    </w:p>
    <w:tbl>
      <w:tblPr>
        <w:tblStyle w:val="TableGrid"/>
        <w:tblW w:w="0" w:type="auto"/>
        <w:jc w:val="center"/>
        <w:tblLook w:val="04A0" w:firstRow="1" w:lastRow="0" w:firstColumn="1" w:lastColumn="0" w:noHBand="0" w:noVBand="1"/>
      </w:tblPr>
      <w:tblGrid>
        <w:gridCol w:w="1596"/>
        <w:gridCol w:w="1596"/>
        <w:gridCol w:w="1878"/>
        <w:gridCol w:w="1530"/>
        <w:gridCol w:w="1380"/>
      </w:tblGrid>
      <w:tr w:rsidR="00B53BBB" w14:paraId="621121FC" w14:textId="77777777" w:rsidTr="003844DD">
        <w:trPr>
          <w:jc w:val="center"/>
        </w:trPr>
        <w:tc>
          <w:tcPr>
            <w:tcW w:w="1596" w:type="dxa"/>
          </w:tcPr>
          <w:p w14:paraId="1D7FCED6" w14:textId="77777777" w:rsidR="00B53BBB" w:rsidRDefault="00B53BBB" w:rsidP="00F365ED">
            <w:pPr>
              <w:keepNext/>
            </w:pPr>
            <w:r>
              <w:t>Technology</w:t>
            </w:r>
          </w:p>
        </w:tc>
        <w:tc>
          <w:tcPr>
            <w:tcW w:w="1596" w:type="dxa"/>
          </w:tcPr>
          <w:p w14:paraId="4B2EA09D" w14:textId="77777777" w:rsidR="00B53BBB" w:rsidRDefault="00B53BBB" w:rsidP="00F365ED">
            <w:pPr>
              <w:keepNext/>
              <w:jc w:val="center"/>
            </w:pPr>
            <w:r>
              <w:t>Responses</w:t>
            </w:r>
          </w:p>
        </w:tc>
        <w:tc>
          <w:tcPr>
            <w:tcW w:w="1878" w:type="dxa"/>
          </w:tcPr>
          <w:p w14:paraId="56D47BB4" w14:textId="77777777" w:rsidR="00B53BBB" w:rsidRDefault="00B53BBB" w:rsidP="00F365ED">
            <w:pPr>
              <w:keepNext/>
              <w:jc w:val="center"/>
            </w:pPr>
            <w:r>
              <w:t>Service Providers</w:t>
            </w:r>
          </w:p>
        </w:tc>
        <w:tc>
          <w:tcPr>
            <w:tcW w:w="1530" w:type="dxa"/>
          </w:tcPr>
          <w:p w14:paraId="309A8BF9" w14:textId="77777777" w:rsidR="00B53BBB" w:rsidRDefault="00B53BBB" w:rsidP="00F365ED">
            <w:pPr>
              <w:keepNext/>
              <w:jc w:val="center"/>
            </w:pPr>
            <w:r>
              <w:t>Census Tracts</w:t>
            </w:r>
          </w:p>
        </w:tc>
        <w:tc>
          <w:tcPr>
            <w:tcW w:w="1380" w:type="dxa"/>
          </w:tcPr>
          <w:p w14:paraId="33F8924B" w14:textId="77777777" w:rsidR="00B53BBB" w:rsidRDefault="00B53BBB" w:rsidP="00F365ED">
            <w:pPr>
              <w:keepNext/>
              <w:jc w:val="center"/>
            </w:pPr>
            <w:r>
              <w:t>Rates</w:t>
            </w:r>
          </w:p>
        </w:tc>
      </w:tr>
      <w:tr w:rsidR="00B53BBB" w14:paraId="27C82540" w14:textId="77777777" w:rsidTr="003844DD">
        <w:trPr>
          <w:jc w:val="center"/>
        </w:trPr>
        <w:tc>
          <w:tcPr>
            <w:tcW w:w="1596" w:type="dxa"/>
          </w:tcPr>
          <w:p w14:paraId="4651991D" w14:textId="77777777" w:rsidR="00DB2A26" w:rsidRDefault="00DB2A26" w:rsidP="00F365ED">
            <w:pPr>
              <w:keepNext/>
            </w:pPr>
            <w:r>
              <w:t>Cable</w:t>
            </w:r>
          </w:p>
        </w:tc>
        <w:tc>
          <w:tcPr>
            <w:tcW w:w="1596" w:type="dxa"/>
          </w:tcPr>
          <w:p w14:paraId="436BBBD6" w14:textId="77777777" w:rsidR="00B53BBB" w:rsidRDefault="008C223A" w:rsidP="00F365ED">
            <w:pPr>
              <w:keepNext/>
              <w:jc w:val="center"/>
            </w:pPr>
            <w:r>
              <w:t>235</w:t>
            </w:r>
          </w:p>
        </w:tc>
        <w:tc>
          <w:tcPr>
            <w:tcW w:w="1878" w:type="dxa"/>
          </w:tcPr>
          <w:p w14:paraId="1711D377" w14:textId="77777777" w:rsidR="00B53BBB" w:rsidRDefault="008C223A" w:rsidP="00F365ED">
            <w:pPr>
              <w:keepNext/>
              <w:jc w:val="center"/>
            </w:pPr>
            <w:r>
              <w:t>47</w:t>
            </w:r>
          </w:p>
        </w:tc>
        <w:tc>
          <w:tcPr>
            <w:tcW w:w="1530" w:type="dxa"/>
          </w:tcPr>
          <w:p w14:paraId="21EA4417" w14:textId="77777777" w:rsidR="00B53BBB" w:rsidRDefault="008C223A" w:rsidP="00F365ED">
            <w:pPr>
              <w:keepNext/>
              <w:jc w:val="center"/>
            </w:pPr>
            <w:r>
              <w:t>234</w:t>
            </w:r>
          </w:p>
        </w:tc>
        <w:tc>
          <w:tcPr>
            <w:tcW w:w="1380" w:type="dxa"/>
          </w:tcPr>
          <w:p w14:paraId="3342E140" w14:textId="77777777" w:rsidR="00B53BBB" w:rsidRDefault="008C223A" w:rsidP="00F365ED">
            <w:pPr>
              <w:keepNext/>
              <w:jc w:val="center"/>
            </w:pPr>
            <w:r>
              <w:t>1606</w:t>
            </w:r>
          </w:p>
        </w:tc>
      </w:tr>
      <w:tr w:rsidR="00B53BBB" w14:paraId="3E34A644" w14:textId="77777777" w:rsidTr="003844DD">
        <w:trPr>
          <w:jc w:val="center"/>
        </w:trPr>
        <w:tc>
          <w:tcPr>
            <w:tcW w:w="1596" w:type="dxa"/>
          </w:tcPr>
          <w:p w14:paraId="4449C94A" w14:textId="77777777" w:rsidR="00B53BBB" w:rsidRDefault="00DB2A26" w:rsidP="00F365ED">
            <w:pPr>
              <w:keepNext/>
            </w:pPr>
            <w:r>
              <w:t>DSL</w:t>
            </w:r>
          </w:p>
        </w:tc>
        <w:tc>
          <w:tcPr>
            <w:tcW w:w="1596" w:type="dxa"/>
          </w:tcPr>
          <w:p w14:paraId="5DBBE8D5" w14:textId="77777777" w:rsidR="00B53BBB" w:rsidRDefault="008C223A" w:rsidP="00F365ED">
            <w:pPr>
              <w:keepNext/>
              <w:jc w:val="center"/>
            </w:pPr>
            <w:r>
              <w:t>96</w:t>
            </w:r>
          </w:p>
        </w:tc>
        <w:tc>
          <w:tcPr>
            <w:tcW w:w="1878" w:type="dxa"/>
          </w:tcPr>
          <w:p w14:paraId="0CE02220" w14:textId="77777777" w:rsidR="00B53BBB" w:rsidRDefault="008C223A" w:rsidP="00F365ED">
            <w:pPr>
              <w:keepNext/>
              <w:jc w:val="center"/>
            </w:pPr>
            <w:r>
              <w:t>37</w:t>
            </w:r>
          </w:p>
        </w:tc>
        <w:tc>
          <w:tcPr>
            <w:tcW w:w="1530" w:type="dxa"/>
          </w:tcPr>
          <w:p w14:paraId="0D89EAF0" w14:textId="77777777" w:rsidR="00B53BBB" w:rsidRDefault="008C223A" w:rsidP="00F365ED">
            <w:pPr>
              <w:keepNext/>
              <w:jc w:val="center"/>
            </w:pPr>
            <w:r>
              <w:t>96</w:t>
            </w:r>
          </w:p>
        </w:tc>
        <w:tc>
          <w:tcPr>
            <w:tcW w:w="1380" w:type="dxa"/>
          </w:tcPr>
          <w:p w14:paraId="7F06AD56" w14:textId="77777777" w:rsidR="00B53BBB" w:rsidRDefault="008C223A" w:rsidP="00F365ED">
            <w:pPr>
              <w:keepNext/>
              <w:jc w:val="center"/>
            </w:pPr>
            <w:r>
              <w:t>537</w:t>
            </w:r>
          </w:p>
        </w:tc>
      </w:tr>
      <w:tr w:rsidR="00B53BBB" w14:paraId="3DFE8E75" w14:textId="77777777" w:rsidTr="003844DD">
        <w:trPr>
          <w:jc w:val="center"/>
        </w:trPr>
        <w:tc>
          <w:tcPr>
            <w:tcW w:w="1596" w:type="dxa"/>
          </w:tcPr>
          <w:p w14:paraId="04DB5972" w14:textId="77777777" w:rsidR="00B53BBB" w:rsidRDefault="00DB2A26" w:rsidP="00F365ED">
            <w:pPr>
              <w:keepNext/>
            </w:pPr>
            <w:r>
              <w:t>FTTH</w:t>
            </w:r>
          </w:p>
        </w:tc>
        <w:tc>
          <w:tcPr>
            <w:tcW w:w="1596" w:type="dxa"/>
          </w:tcPr>
          <w:p w14:paraId="6E031C9D" w14:textId="77777777" w:rsidR="00B53BBB" w:rsidRDefault="00BE466D" w:rsidP="00F365ED">
            <w:pPr>
              <w:keepNext/>
              <w:jc w:val="center"/>
            </w:pPr>
            <w:r>
              <w:t>54</w:t>
            </w:r>
          </w:p>
        </w:tc>
        <w:tc>
          <w:tcPr>
            <w:tcW w:w="1878" w:type="dxa"/>
          </w:tcPr>
          <w:p w14:paraId="086DA7B4" w14:textId="77777777" w:rsidR="00B53BBB" w:rsidRDefault="00BE466D" w:rsidP="00F365ED">
            <w:pPr>
              <w:keepNext/>
              <w:jc w:val="center"/>
            </w:pPr>
            <w:r>
              <w:t>37</w:t>
            </w:r>
          </w:p>
        </w:tc>
        <w:tc>
          <w:tcPr>
            <w:tcW w:w="1530" w:type="dxa"/>
          </w:tcPr>
          <w:p w14:paraId="71C750D2" w14:textId="77777777" w:rsidR="00B53BBB" w:rsidRDefault="00BE466D" w:rsidP="00F365ED">
            <w:pPr>
              <w:keepNext/>
              <w:jc w:val="center"/>
            </w:pPr>
            <w:r>
              <w:t>54</w:t>
            </w:r>
          </w:p>
        </w:tc>
        <w:tc>
          <w:tcPr>
            <w:tcW w:w="1380" w:type="dxa"/>
          </w:tcPr>
          <w:p w14:paraId="06747D7B" w14:textId="77777777" w:rsidR="00B53BBB" w:rsidRDefault="00BE466D" w:rsidP="00F365ED">
            <w:pPr>
              <w:keepNext/>
              <w:jc w:val="center"/>
            </w:pPr>
            <w:r>
              <w:t>267</w:t>
            </w:r>
          </w:p>
        </w:tc>
      </w:tr>
      <w:tr w:rsidR="00B53BBB" w14:paraId="2A9DF60C" w14:textId="77777777" w:rsidTr="003844DD">
        <w:trPr>
          <w:jc w:val="center"/>
        </w:trPr>
        <w:tc>
          <w:tcPr>
            <w:tcW w:w="1596" w:type="dxa"/>
          </w:tcPr>
          <w:p w14:paraId="69ABEFE0" w14:textId="77777777" w:rsidR="00B53BBB" w:rsidRDefault="00DB2A26" w:rsidP="00D819EF">
            <w:r>
              <w:t>Fixed Wireless</w:t>
            </w:r>
          </w:p>
        </w:tc>
        <w:tc>
          <w:tcPr>
            <w:tcW w:w="1596" w:type="dxa"/>
          </w:tcPr>
          <w:p w14:paraId="041E4842" w14:textId="77777777" w:rsidR="00B53BBB" w:rsidRDefault="008C223A" w:rsidP="003844DD">
            <w:pPr>
              <w:jc w:val="center"/>
            </w:pPr>
            <w:r>
              <w:t>94</w:t>
            </w:r>
          </w:p>
        </w:tc>
        <w:tc>
          <w:tcPr>
            <w:tcW w:w="1878" w:type="dxa"/>
          </w:tcPr>
          <w:p w14:paraId="18C6C453" w14:textId="77777777" w:rsidR="00B53BBB" w:rsidRDefault="008C223A" w:rsidP="003844DD">
            <w:pPr>
              <w:jc w:val="center"/>
            </w:pPr>
            <w:r>
              <w:t>50</w:t>
            </w:r>
          </w:p>
        </w:tc>
        <w:tc>
          <w:tcPr>
            <w:tcW w:w="1530" w:type="dxa"/>
          </w:tcPr>
          <w:p w14:paraId="1C666E69" w14:textId="77777777" w:rsidR="00B53BBB" w:rsidRDefault="008C223A" w:rsidP="003844DD">
            <w:pPr>
              <w:jc w:val="center"/>
            </w:pPr>
            <w:r>
              <w:t>94</w:t>
            </w:r>
          </w:p>
        </w:tc>
        <w:tc>
          <w:tcPr>
            <w:tcW w:w="1380" w:type="dxa"/>
          </w:tcPr>
          <w:p w14:paraId="20A665D9" w14:textId="77777777" w:rsidR="00B53BBB" w:rsidRDefault="008C223A" w:rsidP="003844DD">
            <w:pPr>
              <w:jc w:val="center"/>
            </w:pPr>
            <w:r>
              <w:t>340</w:t>
            </w:r>
          </w:p>
        </w:tc>
      </w:tr>
      <w:tr w:rsidR="007943EE" w14:paraId="08A19B39" w14:textId="77777777" w:rsidTr="003844DD">
        <w:trPr>
          <w:jc w:val="center"/>
        </w:trPr>
        <w:tc>
          <w:tcPr>
            <w:tcW w:w="1596" w:type="dxa"/>
          </w:tcPr>
          <w:p w14:paraId="08F4F764" w14:textId="77777777" w:rsidR="007943EE" w:rsidRDefault="007943EE" w:rsidP="00D819EF">
            <w:r>
              <w:t>Other</w:t>
            </w:r>
          </w:p>
        </w:tc>
        <w:tc>
          <w:tcPr>
            <w:tcW w:w="1596" w:type="dxa"/>
          </w:tcPr>
          <w:p w14:paraId="38C36051" w14:textId="77777777" w:rsidR="007943EE" w:rsidRDefault="008C223A" w:rsidP="003844DD">
            <w:pPr>
              <w:jc w:val="center"/>
            </w:pPr>
            <w:r>
              <w:t>20</w:t>
            </w:r>
          </w:p>
        </w:tc>
        <w:tc>
          <w:tcPr>
            <w:tcW w:w="1878" w:type="dxa"/>
          </w:tcPr>
          <w:p w14:paraId="3A52C49D" w14:textId="77777777" w:rsidR="007943EE" w:rsidRDefault="008C223A" w:rsidP="003844DD">
            <w:pPr>
              <w:jc w:val="center"/>
            </w:pPr>
            <w:r>
              <w:t>5</w:t>
            </w:r>
          </w:p>
        </w:tc>
        <w:tc>
          <w:tcPr>
            <w:tcW w:w="1530" w:type="dxa"/>
          </w:tcPr>
          <w:p w14:paraId="144D95ED" w14:textId="77777777" w:rsidR="007943EE" w:rsidRDefault="008C223A" w:rsidP="003844DD">
            <w:pPr>
              <w:jc w:val="center"/>
            </w:pPr>
            <w:r>
              <w:t>20</w:t>
            </w:r>
          </w:p>
        </w:tc>
        <w:tc>
          <w:tcPr>
            <w:tcW w:w="1380" w:type="dxa"/>
          </w:tcPr>
          <w:p w14:paraId="7F7D653C" w14:textId="77777777" w:rsidR="007943EE" w:rsidRDefault="008C223A" w:rsidP="003844DD">
            <w:pPr>
              <w:jc w:val="center"/>
            </w:pPr>
            <w:r>
              <w:t>107</w:t>
            </w:r>
          </w:p>
        </w:tc>
      </w:tr>
    </w:tbl>
    <w:p w14:paraId="3ACC86E4" w14:textId="77777777" w:rsidR="009375D9" w:rsidRDefault="009375D9" w:rsidP="00D819EF"/>
    <w:p w14:paraId="535FA09C" w14:textId="67AAC3CB" w:rsidR="00AA3138" w:rsidRDefault="00D15918" w:rsidP="00AA3138">
      <w:r>
        <w:t>A total of 2,857</w:t>
      </w:r>
      <w:r w:rsidR="009375D9">
        <w:t xml:space="preserve"> rates were provided at a variety of service levels. </w:t>
      </w:r>
      <w:r w:rsidR="00610050">
        <w:t xml:space="preserve">Several rates were excluded from the analysis for </w:t>
      </w:r>
      <w:r w:rsidR="005144C3">
        <w:t xml:space="preserve">the </w:t>
      </w:r>
      <w:r w:rsidR="00610050">
        <w:t>reasons described in the Appendix</w:t>
      </w:r>
      <w:r w:rsidR="005144C3">
        <w:t xml:space="preserve">, </w:t>
      </w:r>
      <w:r w:rsidR="00610050">
        <w:t xml:space="preserve">resulting in a total of </w:t>
      </w:r>
      <w:r w:rsidR="00DB6FB3">
        <w:t>2,655</w:t>
      </w:r>
      <w:r w:rsidR="00F365ED">
        <w:t xml:space="preserve"> rates available for the analysis. </w:t>
      </w:r>
      <w:r w:rsidR="005144C3">
        <w:t xml:space="preserve"> </w:t>
      </w:r>
      <w:r w:rsidR="00AA3138">
        <w:t xml:space="preserve">The table below presents the number of responses, the number of different service providers, the number of different census tracts, and the number of rates for each technology among responses received with rates </w:t>
      </w:r>
      <w:r w:rsidR="00F365ED">
        <w:t>available for</w:t>
      </w:r>
      <w:r w:rsidR="00AA3138">
        <w:t xml:space="preserve"> the analysis.</w:t>
      </w:r>
    </w:p>
    <w:tbl>
      <w:tblPr>
        <w:tblStyle w:val="TableGrid"/>
        <w:tblW w:w="0" w:type="auto"/>
        <w:jc w:val="center"/>
        <w:tblLook w:val="04A0" w:firstRow="1" w:lastRow="0" w:firstColumn="1" w:lastColumn="0" w:noHBand="0" w:noVBand="1"/>
      </w:tblPr>
      <w:tblGrid>
        <w:gridCol w:w="1596"/>
        <w:gridCol w:w="1596"/>
        <w:gridCol w:w="1878"/>
        <w:gridCol w:w="1530"/>
        <w:gridCol w:w="1380"/>
      </w:tblGrid>
      <w:tr w:rsidR="00AA3138" w14:paraId="49A485B8" w14:textId="77777777" w:rsidTr="000D2309">
        <w:trPr>
          <w:jc w:val="center"/>
        </w:trPr>
        <w:tc>
          <w:tcPr>
            <w:tcW w:w="1596" w:type="dxa"/>
          </w:tcPr>
          <w:p w14:paraId="16A15AF7" w14:textId="77777777" w:rsidR="00AA3138" w:rsidRDefault="00AA3138" w:rsidP="000D2309">
            <w:r>
              <w:t>Technology</w:t>
            </w:r>
          </w:p>
        </w:tc>
        <w:tc>
          <w:tcPr>
            <w:tcW w:w="1596" w:type="dxa"/>
          </w:tcPr>
          <w:p w14:paraId="472B647C" w14:textId="77777777" w:rsidR="00AA3138" w:rsidRDefault="00AA3138" w:rsidP="000D2309">
            <w:pPr>
              <w:jc w:val="center"/>
            </w:pPr>
            <w:r>
              <w:t>Responses</w:t>
            </w:r>
          </w:p>
        </w:tc>
        <w:tc>
          <w:tcPr>
            <w:tcW w:w="1878" w:type="dxa"/>
          </w:tcPr>
          <w:p w14:paraId="66BAD012" w14:textId="77777777" w:rsidR="00AA3138" w:rsidRDefault="00AA3138" w:rsidP="000D2309">
            <w:pPr>
              <w:jc w:val="center"/>
            </w:pPr>
            <w:r>
              <w:t>Service Providers</w:t>
            </w:r>
          </w:p>
        </w:tc>
        <w:tc>
          <w:tcPr>
            <w:tcW w:w="1530" w:type="dxa"/>
          </w:tcPr>
          <w:p w14:paraId="27CD3961" w14:textId="77777777" w:rsidR="00AA3138" w:rsidRDefault="00AA3138" w:rsidP="000D2309">
            <w:pPr>
              <w:jc w:val="center"/>
            </w:pPr>
            <w:r>
              <w:t>Census Tracts</w:t>
            </w:r>
          </w:p>
        </w:tc>
        <w:tc>
          <w:tcPr>
            <w:tcW w:w="1380" w:type="dxa"/>
          </w:tcPr>
          <w:p w14:paraId="071EF4DD" w14:textId="77777777" w:rsidR="00AA3138" w:rsidRDefault="00AA3138" w:rsidP="000D2309">
            <w:pPr>
              <w:jc w:val="center"/>
            </w:pPr>
            <w:r>
              <w:t>Rates</w:t>
            </w:r>
          </w:p>
        </w:tc>
      </w:tr>
      <w:tr w:rsidR="00AA3138" w14:paraId="656A4314" w14:textId="77777777" w:rsidTr="000D2309">
        <w:trPr>
          <w:jc w:val="center"/>
        </w:trPr>
        <w:tc>
          <w:tcPr>
            <w:tcW w:w="1596" w:type="dxa"/>
          </w:tcPr>
          <w:p w14:paraId="47AACFF7" w14:textId="77777777" w:rsidR="00AA3138" w:rsidRDefault="00AA3138" w:rsidP="000D2309">
            <w:r>
              <w:t>Cable</w:t>
            </w:r>
          </w:p>
        </w:tc>
        <w:tc>
          <w:tcPr>
            <w:tcW w:w="1596" w:type="dxa"/>
          </w:tcPr>
          <w:p w14:paraId="7EF914B0" w14:textId="77777777" w:rsidR="00AA3138" w:rsidRDefault="00463893" w:rsidP="000D2309">
            <w:pPr>
              <w:jc w:val="center"/>
            </w:pPr>
            <w:r>
              <w:t>234</w:t>
            </w:r>
          </w:p>
        </w:tc>
        <w:tc>
          <w:tcPr>
            <w:tcW w:w="1878" w:type="dxa"/>
          </w:tcPr>
          <w:p w14:paraId="349B9B99" w14:textId="77777777" w:rsidR="00AA3138" w:rsidRDefault="00463893" w:rsidP="000D2309">
            <w:pPr>
              <w:jc w:val="center"/>
            </w:pPr>
            <w:r>
              <w:t>46</w:t>
            </w:r>
          </w:p>
        </w:tc>
        <w:tc>
          <w:tcPr>
            <w:tcW w:w="1530" w:type="dxa"/>
          </w:tcPr>
          <w:p w14:paraId="50AD1991" w14:textId="77777777" w:rsidR="00AA3138" w:rsidRDefault="00463893" w:rsidP="000D2309">
            <w:pPr>
              <w:jc w:val="center"/>
            </w:pPr>
            <w:r>
              <w:t>233</w:t>
            </w:r>
          </w:p>
        </w:tc>
        <w:tc>
          <w:tcPr>
            <w:tcW w:w="1380" w:type="dxa"/>
          </w:tcPr>
          <w:p w14:paraId="1BBAB97A" w14:textId="77777777" w:rsidR="00AA3138" w:rsidRDefault="00463893" w:rsidP="000D2309">
            <w:pPr>
              <w:jc w:val="center"/>
            </w:pPr>
            <w:r>
              <w:t>1439</w:t>
            </w:r>
          </w:p>
        </w:tc>
      </w:tr>
      <w:tr w:rsidR="00AA3138" w14:paraId="149AB1DC" w14:textId="77777777" w:rsidTr="000D2309">
        <w:trPr>
          <w:jc w:val="center"/>
        </w:trPr>
        <w:tc>
          <w:tcPr>
            <w:tcW w:w="1596" w:type="dxa"/>
          </w:tcPr>
          <w:p w14:paraId="389C343A" w14:textId="77777777" w:rsidR="00AA3138" w:rsidRDefault="00AA3138" w:rsidP="000D2309">
            <w:r>
              <w:t>DSL</w:t>
            </w:r>
          </w:p>
        </w:tc>
        <w:tc>
          <w:tcPr>
            <w:tcW w:w="1596" w:type="dxa"/>
          </w:tcPr>
          <w:p w14:paraId="5B8C665E" w14:textId="77777777" w:rsidR="00AA3138" w:rsidRDefault="00463893" w:rsidP="000D2309">
            <w:pPr>
              <w:jc w:val="center"/>
            </w:pPr>
            <w:r>
              <w:t>95</w:t>
            </w:r>
          </w:p>
        </w:tc>
        <w:tc>
          <w:tcPr>
            <w:tcW w:w="1878" w:type="dxa"/>
          </w:tcPr>
          <w:p w14:paraId="34400110" w14:textId="77777777" w:rsidR="00AA3138" w:rsidRDefault="00463893" w:rsidP="000D2309">
            <w:pPr>
              <w:jc w:val="center"/>
            </w:pPr>
            <w:r>
              <w:t>36</w:t>
            </w:r>
          </w:p>
        </w:tc>
        <w:tc>
          <w:tcPr>
            <w:tcW w:w="1530" w:type="dxa"/>
          </w:tcPr>
          <w:p w14:paraId="16757F48" w14:textId="77777777" w:rsidR="00AA3138" w:rsidRDefault="00463893" w:rsidP="000D2309">
            <w:pPr>
              <w:jc w:val="center"/>
            </w:pPr>
            <w:r>
              <w:t>95</w:t>
            </w:r>
          </w:p>
        </w:tc>
        <w:tc>
          <w:tcPr>
            <w:tcW w:w="1380" w:type="dxa"/>
          </w:tcPr>
          <w:p w14:paraId="34A0B709" w14:textId="77777777" w:rsidR="00AA3138" w:rsidRDefault="00463893" w:rsidP="000D2309">
            <w:pPr>
              <w:jc w:val="center"/>
            </w:pPr>
            <w:r>
              <w:t>535</w:t>
            </w:r>
          </w:p>
        </w:tc>
      </w:tr>
      <w:tr w:rsidR="00AA3138" w14:paraId="2AFE50B4" w14:textId="77777777" w:rsidTr="000D2309">
        <w:trPr>
          <w:jc w:val="center"/>
        </w:trPr>
        <w:tc>
          <w:tcPr>
            <w:tcW w:w="1596" w:type="dxa"/>
          </w:tcPr>
          <w:p w14:paraId="0DA5F361" w14:textId="77777777" w:rsidR="00AA3138" w:rsidRDefault="00AA3138" w:rsidP="000D2309">
            <w:r>
              <w:t>FTTH</w:t>
            </w:r>
          </w:p>
        </w:tc>
        <w:tc>
          <w:tcPr>
            <w:tcW w:w="1596" w:type="dxa"/>
          </w:tcPr>
          <w:p w14:paraId="32769B64" w14:textId="77777777" w:rsidR="00AA3138" w:rsidRDefault="00463893" w:rsidP="000D2309">
            <w:pPr>
              <w:jc w:val="center"/>
            </w:pPr>
            <w:r>
              <w:t>52</w:t>
            </w:r>
          </w:p>
        </w:tc>
        <w:tc>
          <w:tcPr>
            <w:tcW w:w="1878" w:type="dxa"/>
          </w:tcPr>
          <w:p w14:paraId="0B342C4A" w14:textId="77777777" w:rsidR="00AA3138" w:rsidRDefault="00463893" w:rsidP="000D2309">
            <w:pPr>
              <w:jc w:val="center"/>
            </w:pPr>
            <w:r>
              <w:t>35</w:t>
            </w:r>
          </w:p>
        </w:tc>
        <w:tc>
          <w:tcPr>
            <w:tcW w:w="1530" w:type="dxa"/>
          </w:tcPr>
          <w:p w14:paraId="6B93C801" w14:textId="77777777" w:rsidR="00AA3138" w:rsidRDefault="00463893" w:rsidP="000D2309">
            <w:pPr>
              <w:jc w:val="center"/>
            </w:pPr>
            <w:r>
              <w:t>52</w:t>
            </w:r>
          </w:p>
        </w:tc>
        <w:tc>
          <w:tcPr>
            <w:tcW w:w="1380" w:type="dxa"/>
          </w:tcPr>
          <w:p w14:paraId="1F6CC640" w14:textId="77777777" w:rsidR="00AA3138" w:rsidRDefault="00B2529F" w:rsidP="000D2309">
            <w:pPr>
              <w:jc w:val="center"/>
            </w:pPr>
            <w:r>
              <w:t>264</w:t>
            </w:r>
          </w:p>
        </w:tc>
      </w:tr>
      <w:tr w:rsidR="00AA3138" w14:paraId="7A9C3409" w14:textId="77777777" w:rsidTr="000D2309">
        <w:trPr>
          <w:jc w:val="center"/>
        </w:trPr>
        <w:tc>
          <w:tcPr>
            <w:tcW w:w="1596" w:type="dxa"/>
          </w:tcPr>
          <w:p w14:paraId="796ADFDB" w14:textId="77777777" w:rsidR="00AA3138" w:rsidRDefault="00AA3138" w:rsidP="000D2309">
            <w:r>
              <w:t>Fixed Wireless</w:t>
            </w:r>
          </w:p>
        </w:tc>
        <w:tc>
          <w:tcPr>
            <w:tcW w:w="1596" w:type="dxa"/>
          </w:tcPr>
          <w:p w14:paraId="141AC5EE" w14:textId="77777777" w:rsidR="00AA3138" w:rsidRDefault="00DB6FB3" w:rsidP="000D2309">
            <w:pPr>
              <w:jc w:val="center"/>
            </w:pPr>
            <w:r>
              <w:t>91</w:t>
            </w:r>
          </w:p>
        </w:tc>
        <w:tc>
          <w:tcPr>
            <w:tcW w:w="1878" w:type="dxa"/>
          </w:tcPr>
          <w:p w14:paraId="6227E831" w14:textId="77777777" w:rsidR="00AA3138" w:rsidRDefault="00DB6FB3" w:rsidP="000D2309">
            <w:pPr>
              <w:jc w:val="center"/>
            </w:pPr>
            <w:r>
              <w:t>47</w:t>
            </w:r>
          </w:p>
        </w:tc>
        <w:tc>
          <w:tcPr>
            <w:tcW w:w="1530" w:type="dxa"/>
          </w:tcPr>
          <w:p w14:paraId="30038A80" w14:textId="77777777" w:rsidR="00AA3138" w:rsidRDefault="00DB6FB3" w:rsidP="000D2309">
            <w:pPr>
              <w:jc w:val="center"/>
            </w:pPr>
            <w:r>
              <w:t>91</w:t>
            </w:r>
          </w:p>
        </w:tc>
        <w:tc>
          <w:tcPr>
            <w:tcW w:w="1380" w:type="dxa"/>
          </w:tcPr>
          <w:p w14:paraId="12E51D28" w14:textId="77777777" w:rsidR="00AA3138" w:rsidRDefault="00DB6FB3" w:rsidP="000D2309">
            <w:pPr>
              <w:jc w:val="center"/>
            </w:pPr>
            <w:r>
              <w:t>313</w:t>
            </w:r>
          </w:p>
        </w:tc>
      </w:tr>
      <w:tr w:rsidR="00AA052A" w14:paraId="25277473" w14:textId="77777777" w:rsidTr="000D2309">
        <w:trPr>
          <w:jc w:val="center"/>
        </w:trPr>
        <w:tc>
          <w:tcPr>
            <w:tcW w:w="1596" w:type="dxa"/>
          </w:tcPr>
          <w:p w14:paraId="5585396D" w14:textId="77777777" w:rsidR="00AA052A" w:rsidRDefault="00AA052A" w:rsidP="000D2309">
            <w:r>
              <w:t>Other</w:t>
            </w:r>
          </w:p>
        </w:tc>
        <w:tc>
          <w:tcPr>
            <w:tcW w:w="1596" w:type="dxa"/>
          </w:tcPr>
          <w:p w14:paraId="72F8E3AF" w14:textId="77777777" w:rsidR="00AA052A" w:rsidRDefault="00463893" w:rsidP="000D2309">
            <w:pPr>
              <w:jc w:val="center"/>
            </w:pPr>
            <w:r>
              <w:t>18</w:t>
            </w:r>
          </w:p>
        </w:tc>
        <w:tc>
          <w:tcPr>
            <w:tcW w:w="1878" w:type="dxa"/>
          </w:tcPr>
          <w:p w14:paraId="5143AFA7" w14:textId="77777777" w:rsidR="00AA052A" w:rsidRDefault="00463893" w:rsidP="000D2309">
            <w:pPr>
              <w:jc w:val="center"/>
            </w:pPr>
            <w:r>
              <w:t>3</w:t>
            </w:r>
          </w:p>
        </w:tc>
        <w:tc>
          <w:tcPr>
            <w:tcW w:w="1530" w:type="dxa"/>
          </w:tcPr>
          <w:p w14:paraId="2CB675E8" w14:textId="77777777" w:rsidR="00AA052A" w:rsidRDefault="00463893" w:rsidP="000D2309">
            <w:pPr>
              <w:jc w:val="center"/>
            </w:pPr>
            <w:r>
              <w:t>18</w:t>
            </w:r>
          </w:p>
        </w:tc>
        <w:tc>
          <w:tcPr>
            <w:tcW w:w="1380" w:type="dxa"/>
          </w:tcPr>
          <w:p w14:paraId="6ED60FC2" w14:textId="77777777" w:rsidR="00AA052A" w:rsidRDefault="00463893" w:rsidP="000D2309">
            <w:pPr>
              <w:jc w:val="center"/>
            </w:pPr>
            <w:r>
              <w:t>104</w:t>
            </w:r>
          </w:p>
        </w:tc>
      </w:tr>
      <w:tr w:rsidR="00AA052A" w14:paraId="3874159F" w14:textId="77777777" w:rsidTr="000D2309">
        <w:trPr>
          <w:jc w:val="center"/>
        </w:trPr>
        <w:tc>
          <w:tcPr>
            <w:tcW w:w="1596" w:type="dxa"/>
          </w:tcPr>
          <w:p w14:paraId="75AB13B3" w14:textId="77777777" w:rsidR="00AA052A" w:rsidRDefault="00AA052A" w:rsidP="000D2309">
            <w:r>
              <w:t>All</w:t>
            </w:r>
          </w:p>
        </w:tc>
        <w:tc>
          <w:tcPr>
            <w:tcW w:w="1596" w:type="dxa"/>
          </w:tcPr>
          <w:p w14:paraId="3F1FB582" w14:textId="77777777" w:rsidR="00AA052A" w:rsidRDefault="00DB6FB3" w:rsidP="000D2309">
            <w:pPr>
              <w:jc w:val="center"/>
            </w:pPr>
            <w:r>
              <w:t>442</w:t>
            </w:r>
          </w:p>
        </w:tc>
        <w:tc>
          <w:tcPr>
            <w:tcW w:w="1878" w:type="dxa"/>
          </w:tcPr>
          <w:p w14:paraId="3E832341" w14:textId="77777777" w:rsidR="00AA052A" w:rsidRDefault="00DB6FB3" w:rsidP="000D2309">
            <w:pPr>
              <w:jc w:val="center"/>
            </w:pPr>
            <w:r>
              <w:t>143</w:t>
            </w:r>
          </w:p>
        </w:tc>
        <w:tc>
          <w:tcPr>
            <w:tcW w:w="1530" w:type="dxa"/>
          </w:tcPr>
          <w:p w14:paraId="47EC4516" w14:textId="77777777" w:rsidR="00AA052A" w:rsidRDefault="00DB6FB3" w:rsidP="000D2309">
            <w:pPr>
              <w:jc w:val="center"/>
            </w:pPr>
            <w:r>
              <w:t>440</w:t>
            </w:r>
          </w:p>
        </w:tc>
        <w:tc>
          <w:tcPr>
            <w:tcW w:w="1380" w:type="dxa"/>
          </w:tcPr>
          <w:p w14:paraId="4E2339FA" w14:textId="77777777" w:rsidR="00AA052A" w:rsidRDefault="00DB6FB3" w:rsidP="000D2309">
            <w:pPr>
              <w:jc w:val="center"/>
            </w:pPr>
            <w:r>
              <w:t>2655</w:t>
            </w:r>
          </w:p>
        </w:tc>
      </w:tr>
    </w:tbl>
    <w:p w14:paraId="586E3A85" w14:textId="77777777" w:rsidR="00AA3138" w:rsidRDefault="00AA3138" w:rsidP="009375D9"/>
    <w:p w14:paraId="17C7DE47" w14:textId="1D2629DA" w:rsidR="00400740" w:rsidRDefault="00400740" w:rsidP="00E0007E">
      <w:r>
        <w:t>All speed values w</w:t>
      </w:r>
      <w:r w:rsidR="00F365ED">
        <w:t>ere expected to be entered in Mb</w:t>
      </w:r>
      <w:r>
        <w:t>ps, but some were entered as Kbps</w:t>
      </w:r>
      <w:r w:rsidR="00633DE1">
        <w:t xml:space="preserve"> or </w:t>
      </w:r>
      <w:r w:rsidR="00B4779A">
        <w:t>used</w:t>
      </w:r>
      <w:r w:rsidR="00362BB3">
        <w:t xml:space="preserve"> thousands in the binary sense.</w:t>
      </w:r>
      <w:r>
        <w:t xml:space="preserve">  For consistency, speed values entered in the survey were converted if they appeared in the table below:</w:t>
      </w:r>
    </w:p>
    <w:tbl>
      <w:tblPr>
        <w:tblStyle w:val="TableGrid"/>
        <w:tblW w:w="0" w:type="auto"/>
        <w:tblInd w:w="2358" w:type="dxa"/>
        <w:tblLook w:val="04A0" w:firstRow="1" w:lastRow="0" w:firstColumn="1" w:lastColumn="0" w:noHBand="0" w:noVBand="1"/>
      </w:tblPr>
      <w:tblGrid>
        <w:gridCol w:w="2430"/>
        <w:gridCol w:w="2407"/>
      </w:tblGrid>
      <w:tr w:rsidR="00400740" w14:paraId="53E0F988" w14:textId="77777777" w:rsidTr="0003397D">
        <w:tc>
          <w:tcPr>
            <w:tcW w:w="2430" w:type="dxa"/>
            <w:vAlign w:val="bottom"/>
          </w:tcPr>
          <w:p w14:paraId="69A71B17" w14:textId="77777777" w:rsidR="00400740" w:rsidRPr="00692EFE" w:rsidRDefault="00400740" w:rsidP="00A56041">
            <w:pPr>
              <w:jc w:val="center"/>
              <w:rPr>
                <w:rFonts w:ascii="Calibri" w:eastAsia="Times New Roman" w:hAnsi="Calibri" w:cs="Calibri"/>
                <w:color w:val="000000"/>
              </w:rPr>
            </w:pPr>
            <w:r w:rsidRPr="00692EFE">
              <w:rPr>
                <w:rFonts w:ascii="Calibri" w:eastAsia="Times New Roman" w:hAnsi="Calibri" w:cs="Calibri"/>
                <w:color w:val="000000"/>
              </w:rPr>
              <w:t>Speed Entered</w:t>
            </w:r>
          </w:p>
        </w:tc>
        <w:tc>
          <w:tcPr>
            <w:tcW w:w="2407" w:type="dxa"/>
            <w:vAlign w:val="bottom"/>
          </w:tcPr>
          <w:p w14:paraId="4AC71E44" w14:textId="5C204146" w:rsidR="00400740" w:rsidRPr="00692EFE" w:rsidRDefault="00400740" w:rsidP="00400740">
            <w:pPr>
              <w:jc w:val="center"/>
              <w:rPr>
                <w:rFonts w:ascii="Calibri" w:eastAsia="Times New Roman" w:hAnsi="Calibri" w:cs="Calibri"/>
                <w:color w:val="000000"/>
              </w:rPr>
            </w:pPr>
            <w:r w:rsidRPr="00692EFE">
              <w:rPr>
                <w:rFonts w:ascii="Calibri" w:eastAsia="Times New Roman" w:hAnsi="Calibri" w:cs="Calibri"/>
                <w:color w:val="000000"/>
              </w:rPr>
              <w:t>Speed Used</w:t>
            </w:r>
            <w:r w:rsidR="005144C3">
              <w:rPr>
                <w:rFonts w:ascii="Calibri" w:eastAsia="Times New Roman" w:hAnsi="Calibri" w:cs="Calibri"/>
                <w:color w:val="000000"/>
              </w:rPr>
              <w:t xml:space="preserve"> in M</w:t>
            </w:r>
            <w:r w:rsidR="008230D2">
              <w:rPr>
                <w:rFonts w:ascii="Calibri" w:eastAsia="Times New Roman" w:hAnsi="Calibri" w:cs="Calibri"/>
                <w:color w:val="000000"/>
              </w:rPr>
              <w:t>bps</w:t>
            </w:r>
          </w:p>
        </w:tc>
      </w:tr>
      <w:tr w:rsidR="00400740" w14:paraId="07D51EBA" w14:textId="77777777" w:rsidTr="0003397D">
        <w:tc>
          <w:tcPr>
            <w:tcW w:w="2430" w:type="dxa"/>
          </w:tcPr>
          <w:p w14:paraId="78D1C6A5" w14:textId="77777777" w:rsidR="00400740" w:rsidRDefault="00400740" w:rsidP="00400740">
            <w:pPr>
              <w:jc w:val="center"/>
            </w:pPr>
            <w:r>
              <w:t>0.128</w:t>
            </w:r>
            <w:r w:rsidR="00676FF0">
              <w:t xml:space="preserve"> or 128</w:t>
            </w:r>
          </w:p>
        </w:tc>
        <w:tc>
          <w:tcPr>
            <w:tcW w:w="2407" w:type="dxa"/>
          </w:tcPr>
          <w:p w14:paraId="22BEABE4" w14:textId="77777777" w:rsidR="00400740" w:rsidRDefault="00400740" w:rsidP="00400740">
            <w:pPr>
              <w:jc w:val="center"/>
            </w:pPr>
            <w:r>
              <w:t>0.125</w:t>
            </w:r>
          </w:p>
        </w:tc>
      </w:tr>
      <w:tr w:rsidR="00400740" w14:paraId="1178D890" w14:textId="77777777" w:rsidTr="0003397D">
        <w:tc>
          <w:tcPr>
            <w:tcW w:w="2430" w:type="dxa"/>
          </w:tcPr>
          <w:p w14:paraId="16087155" w14:textId="77777777" w:rsidR="00400740" w:rsidRDefault="00400740" w:rsidP="00400740">
            <w:pPr>
              <w:jc w:val="center"/>
            </w:pPr>
            <w:r>
              <w:t xml:space="preserve">0.256 or </w:t>
            </w:r>
            <w:r w:rsidR="00676FF0">
              <w:t>.258</w:t>
            </w:r>
          </w:p>
        </w:tc>
        <w:tc>
          <w:tcPr>
            <w:tcW w:w="2407" w:type="dxa"/>
          </w:tcPr>
          <w:p w14:paraId="5CF0805A" w14:textId="77777777" w:rsidR="00400740" w:rsidRDefault="00400740" w:rsidP="00400740">
            <w:pPr>
              <w:jc w:val="center"/>
            </w:pPr>
            <w:r>
              <w:t>0.25</w:t>
            </w:r>
          </w:p>
        </w:tc>
      </w:tr>
      <w:tr w:rsidR="00400740" w14:paraId="2D1BE9C1" w14:textId="77777777" w:rsidTr="0003397D">
        <w:tc>
          <w:tcPr>
            <w:tcW w:w="2430" w:type="dxa"/>
          </w:tcPr>
          <w:p w14:paraId="6418B3F3" w14:textId="77777777" w:rsidR="00400740" w:rsidRDefault="00400740" w:rsidP="00400740">
            <w:pPr>
              <w:jc w:val="center"/>
            </w:pPr>
            <w:r>
              <w:t>0.37, 0.38, or 0.384</w:t>
            </w:r>
          </w:p>
        </w:tc>
        <w:tc>
          <w:tcPr>
            <w:tcW w:w="2407" w:type="dxa"/>
          </w:tcPr>
          <w:p w14:paraId="22BC4E7E" w14:textId="77777777" w:rsidR="00400740" w:rsidRDefault="00400740" w:rsidP="00400740">
            <w:pPr>
              <w:jc w:val="center"/>
            </w:pPr>
            <w:r>
              <w:t>0.375</w:t>
            </w:r>
          </w:p>
        </w:tc>
      </w:tr>
      <w:tr w:rsidR="00400740" w14:paraId="2B4C8FCC" w14:textId="77777777" w:rsidTr="0003397D">
        <w:tc>
          <w:tcPr>
            <w:tcW w:w="2430" w:type="dxa"/>
          </w:tcPr>
          <w:p w14:paraId="22E34A83" w14:textId="77777777" w:rsidR="00400740" w:rsidRDefault="00400740" w:rsidP="00400740">
            <w:pPr>
              <w:jc w:val="center"/>
            </w:pPr>
            <w:r>
              <w:t>0</w:t>
            </w:r>
            <w:r w:rsidR="00633DE1">
              <w:t>.512 or 512</w:t>
            </w:r>
          </w:p>
        </w:tc>
        <w:tc>
          <w:tcPr>
            <w:tcW w:w="2407" w:type="dxa"/>
          </w:tcPr>
          <w:p w14:paraId="04AE3C51" w14:textId="77777777" w:rsidR="00400740" w:rsidRDefault="00400740" w:rsidP="00400740">
            <w:pPr>
              <w:jc w:val="center"/>
            </w:pPr>
            <w:r>
              <w:t>0.5</w:t>
            </w:r>
          </w:p>
        </w:tc>
      </w:tr>
      <w:tr w:rsidR="00400740" w14:paraId="5D51FE68" w14:textId="77777777" w:rsidTr="0003397D">
        <w:tc>
          <w:tcPr>
            <w:tcW w:w="2430" w:type="dxa"/>
          </w:tcPr>
          <w:p w14:paraId="33354A92" w14:textId="77777777" w:rsidR="00676FF0" w:rsidRDefault="00400740" w:rsidP="00676FF0">
            <w:pPr>
              <w:jc w:val="center"/>
            </w:pPr>
            <w:r>
              <w:t>0.768</w:t>
            </w:r>
            <w:r w:rsidR="00676FF0">
              <w:t xml:space="preserve"> or 768</w:t>
            </w:r>
          </w:p>
        </w:tc>
        <w:tc>
          <w:tcPr>
            <w:tcW w:w="2407" w:type="dxa"/>
          </w:tcPr>
          <w:p w14:paraId="1E7A8521" w14:textId="77777777" w:rsidR="00676FF0" w:rsidRDefault="00400740" w:rsidP="00676FF0">
            <w:pPr>
              <w:jc w:val="center"/>
            </w:pPr>
            <w:r>
              <w:t>0.75</w:t>
            </w:r>
          </w:p>
        </w:tc>
      </w:tr>
      <w:tr w:rsidR="00676FF0" w14:paraId="4702396B" w14:textId="77777777" w:rsidTr="0003397D">
        <w:tc>
          <w:tcPr>
            <w:tcW w:w="2430" w:type="dxa"/>
          </w:tcPr>
          <w:p w14:paraId="2D99B732" w14:textId="77777777" w:rsidR="00676FF0" w:rsidRDefault="00676FF0" w:rsidP="00676FF0">
            <w:pPr>
              <w:jc w:val="center"/>
            </w:pPr>
            <w:r>
              <w:t>.896</w:t>
            </w:r>
          </w:p>
        </w:tc>
        <w:tc>
          <w:tcPr>
            <w:tcW w:w="2407" w:type="dxa"/>
          </w:tcPr>
          <w:p w14:paraId="7D15C3B7" w14:textId="77777777" w:rsidR="00676FF0" w:rsidRDefault="00676FF0" w:rsidP="00676FF0">
            <w:pPr>
              <w:jc w:val="center"/>
            </w:pPr>
            <w:r>
              <w:t>.875</w:t>
            </w:r>
          </w:p>
        </w:tc>
      </w:tr>
      <w:tr w:rsidR="00400740" w14:paraId="140C2E06" w14:textId="77777777" w:rsidTr="0003397D">
        <w:tc>
          <w:tcPr>
            <w:tcW w:w="2430" w:type="dxa"/>
          </w:tcPr>
          <w:p w14:paraId="3B61941D" w14:textId="77777777" w:rsidR="00400740" w:rsidRDefault="00400740" w:rsidP="00400740">
            <w:pPr>
              <w:jc w:val="center"/>
            </w:pPr>
            <w:r>
              <w:t>1024</w:t>
            </w:r>
          </w:p>
        </w:tc>
        <w:tc>
          <w:tcPr>
            <w:tcW w:w="2407" w:type="dxa"/>
          </w:tcPr>
          <w:p w14:paraId="297BF900" w14:textId="77777777" w:rsidR="00400740" w:rsidRDefault="00676FF0" w:rsidP="00400740">
            <w:pPr>
              <w:jc w:val="center"/>
            </w:pPr>
            <w:r>
              <w:t>1</w:t>
            </w:r>
          </w:p>
        </w:tc>
      </w:tr>
      <w:tr w:rsidR="00676FF0" w14:paraId="42A684FD" w14:textId="77777777" w:rsidTr="0003397D">
        <w:tc>
          <w:tcPr>
            <w:tcW w:w="2430" w:type="dxa"/>
          </w:tcPr>
          <w:p w14:paraId="324E586C" w14:textId="77777777" w:rsidR="00676FF0" w:rsidRDefault="00676FF0" w:rsidP="00400740">
            <w:pPr>
              <w:jc w:val="center"/>
            </w:pPr>
            <w:r>
              <w:t>3000</w:t>
            </w:r>
          </w:p>
        </w:tc>
        <w:tc>
          <w:tcPr>
            <w:tcW w:w="2407" w:type="dxa"/>
          </w:tcPr>
          <w:p w14:paraId="02A30293" w14:textId="77777777" w:rsidR="00676FF0" w:rsidRDefault="00676FF0" w:rsidP="00400740">
            <w:pPr>
              <w:jc w:val="center"/>
            </w:pPr>
            <w:r>
              <w:t>3</w:t>
            </w:r>
          </w:p>
        </w:tc>
      </w:tr>
    </w:tbl>
    <w:p w14:paraId="0948B19C" w14:textId="77777777" w:rsidR="00400740" w:rsidRDefault="00400740" w:rsidP="00400740">
      <w:pPr>
        <w:jc w:val="center"/>
      </w:pPr>
    </w:p>
    <w:p w14:paraId="44D27408" w14:textId="77777777" w:rsidR="008372FF" w:rsidRDefault="008372FF" w:rsidP="00A1665E"/>
    <w:p w14:paraId="77661E27" w14:textId="359E8E9B" w:rsidR="008E0458" w:rsidRPr="0003397D" w:rsidRDefault="008E0458" w:rsidP="00E0007E">
      <w:pPr>
        <w:keepNext/>
        <w:rPr>
          <w:b/>
        </w:rPr>
      </w:pPr>
      <w:r w:rsidRPr="0003397D">
        <w:rPr>
          <w:b/>
        </w:rPr>
        <w:lastRenderedPageBreak/>
        <w:t xml:space="preserve">Monthly Rates </w:t>
      </w:r>
      <w:r w:rsidR="00D43ABD" w:rsidRPr="0003397D">
        <w:rPr>
          <w:b/>
        </w:rPr>
        <w:t xml:space="preserve">and Rate Spreads </w:t>
      </w:r>
      <w:r w:rsidRPr="0003397D">
        <w:rPr>
          <w:b/>
        </w:rPr>
        <w:t>for the Survey Sample</w:t>
      </w:r>
    </w:p>
    <w:p w14:paraId="239FC471" w14:textId="11FA2A3A" w:rsidR="004973C8" w:rsidRDefault="00B4779A" w:rsidP="00A1665E">
      <w:r>
        <w:t xml:space="preserve">Monthly rates were treated as unique for a combination of census tract, </w:t>
      </w:r>
      <w:r w:rsidR="008673EF">
        <w:t>F</w:t>
      </w:r>
      <w:r w:rsidR="002C2919">
        <w:t xml:space="preserve">CC </w:t>
      </w:r>
      <w:r w:rsidR="008673EF">
        <w:t>R</w:t>
      </w:r>
      <w:r w:rsidR="002C2919">
        <w:t xml:space="preserve">egistration </w:t>
      </w:r>
      <w:r w:rsidR="008673EF">
        <w:t>N</w:t>
      </w:r>
      <w:r w:rsidR="002C2919">
        <w:t>umber (FRN)</w:t>
      </w:r>
      <w:r>
        <w:t xml:space="preserve">, service </w:t>
      </w:r>
      <w:r w:rsidR="008673EF">
        <w:t>name</w:t>
      </w:r>
      <w:r>
        <w:t xml:space="preserve">, </w:t>
      </w:r>
      <w:r w:rsidR="008673EF">
        <w:t>technology, download speed, upload speed, and capacity allowance.  The following average monthly rate was used if the service provider offered multiple rates in the census tract</w:t>
      </w:r>
      <w:r w:rsidR="00F365ED">
        <w:t xml:space="preserve"> for each unique combination</w:t>
      </w:r>
      <w:r w:rsidR="005144C3">
        <w:t>:</w:t>
      </w:r>
    </w:p>
    <w:p w14:paraId="433FE9B5" w14:textId="77777777" w:rsidR="008673EF" w:rsidRDefault="008673EF" w:rsidP="008673EF">
      <w:pPr>
        <w:pStyle w:val="ListParagraph"/>
        <w:numPr>
          <w:ilvl w:val="0"/>
          <w:numId w:val="6"/>
        </w:numPr>
      </w:pPr>
      <w:r>
        <w:t>Minimum Rate = Minimum Monthly Charge + Minimum Other Mandatory Charge + Minimum Surcharge</w:t>
      </w:r>
    </w:p>
    <w:p w14:paraId="05F5A99C" w14:textId="77777777" w:rsidR="008673EF" w:rsidRDefault="008673EF" w:rsidP="008673EF">
      <w:pPr>
        <w:pStyle w:val="ListParagraph"/>
        <w:numPr>
          <w:ilvl w:val="0"/>
          <w:numId w:val="6"/>
        </w:numPr>
      </w:pPr>
      <w:r>
        <w:t>Maximum Rate = Maximum Monthly Charge + Maximum Other Mandatory Charge + Maximum Surcharge</w:t>
      </w:r>
    </w:p>
    <w:p w14:paraId="3C788BE1" w14:textId="77777777" w:rsidR="008673EF" w:rsidRDefault="008673EF" w:rsidP="008673EF">
      <w:pPr>
        <w:pStyle w:val="ListParagraph"/>
        <w:numPr>
          <w:ilvl w:val="0"/>
          <w:numId w:val="6"/>
        </w:numPr>
      </w:pPr>
      <w:r>
        <w:t xml:space="preserve">Average Rate = </w:t>
      </w:r>
      <w:r w:rsidRPr="005D3FDA">
        <w:t xml:space="preserve">(Minimum </w:t>
      </w:r>
      <w:r>
        <w:t>Rate</w:t>
      </w:r>
      <w:r w:rsidRPr="005D3FDA">
        <w:t xml:space="preserve"> + Maximum </w:t>
      </w:r>
      <w:r>
        <w:t>Rate</w:t>
      </w:r>
      <w:r w:rsidRPr="005D3FDA">
        <w:t>)/2</w:t>
      </w:r>
    </w:p>
    <w:p w14:paraId="779B1824" w14:textId="77777777" w:rsidR="008673EF" w:rsidRDefault="008673EF" w:rsidP="008673EF">
      <w:pPr>
        <w:pStyle w:val="ListParagraph"/>
        <w:numPr>
          <w:ilvl w:val="0"/>
          <w:numId w:val="6"/>
        </w:numPr>
      </w:pPr>
      <w:r>
        <w:t xml:space="preserve">Rate Spread = </w:t>
      </w:r>
      <w:r w:rsidRPr="005D3FDA">
        <w:t xml:space="preserve">Maximum </w:t>
      </w:r>
      <w:r>
        <w:t xml:space="preserve">Rate - </w:t>
      </w:r>
      <w:r w:rsidRPr="005D3FDA">
        <w:t xml:space="preserve">Minimum </w:t>
      </w:r>
      <w:r>
        <w:t>Rate</w:t>
      </w:r>
    </w:p>
    <w:p w14:paraId="13FA2261" w14:textId="77777777" w:rsidR="000C1052" w:rsidRPr="005D3FDA" w:rsidRDefault="000C1052" w:rsidP="000C1052">
      <w:r>
        <w:t>The following average monthly rate was used if the service provider did not offer multiple rates in the census tract:</w:t>
      </w:r>
    </w:p>
    <w:p w14:paraId="7E059C1B" w14:textId="77777777" w:rsidR="000C1052" w:rsidRDefault="000C1052" w:rsidP="000C1052">
      <w:pPr>
        <w:pStyle w:val="ListParagraph"/>
        <w:numPr>
          <w:ilvl w:val="0"/>
          <w:numId w:val="7"/>
        </w:numPr>
      </w:pPr>
      <w:r>
        <w:t>Average Rate = Minimum Monthly Charge + Minimum Other Mandatory Charge + Minimum Surcharge</w:t>
      </w:r>
    </w:p>
    <w:p w14:paraId="3842B2D7" w14:textId="77777777" w:rsidR="000C1052" w:rsidRDefault="000C1052" w:rsidP="000C1052">
      <w:pPr>
        <w:pStyle w:val="ListParagraph"/>
        <w:numPr>
          <w:ilvl w:val="0"/>
          <w:numId w:val="7"/>
        </w:numPr>
      </w:pPr>
      <w:r>
        <w:t>Rate Spread = 0</w:t>
      </w:r>
    </w:p>
    <w:p w14:paraId="71D3C5D5" w14:textId="77777777" w:rsidR="00CC6159" w:rsidRDefault="00CC6159" w:rsidP="00CC6159">
      <w:pPr>
        <w:rPr>
          <w:b/>
        </w:rPr>
      </w:pPr>
      <w:r w:rsidRPr="00CC6159">
        <w:rPr>
          <w:b/>
        </w:rPr>
        <w:t>Weights for Rates</w:t>
      </w:r>
    </w:p>
    <w:p w14:paraId="64597383" w14:textId="44E6E779" w:rsidR="0043161D" w:rsidRDefault="00CD7C11" w:rsidP="00CC6159">
      <w:r>
        <w:t xml:space="preserve">Weights are needed to capture the estimated number of offers each response represents; without such weights, the offered rates from </w:t>
      </w:r>
      <w:r w:rsidR="00162DDC">
        <w:t xml:space="preserve">a </w:t>
      </w:r>
      <w:r>
        <w:t xml:space="preserve">minor service provider with little coverage would have the same influence on the benchmark as a response from a large national service provider. The weights are also needed to compensate for the </w:t>
      </w:r>
      <w:r w:rsidR="00B004B2">
        <w:t>variability in</w:t>
      </w:r>
      <w:r>
        <w:t xml:space="preserve"> sampling across the strata. </w:t>
      </w:r>
      <w:r w:rsidR="00D43ABD">
        <w:t xml:space="preserve"> </w:t>
      </w:r>
      <w:r w:rsidR="0043161D">
        <w:t>Each (census tract, service provider) pair in the full sample was assigned the following weights:</w:t>
      </w:r>
    </w:p>
    <w:p w14:paraId="56B16199" w14:textId="77777777" w:rsidR="00E34048" w:rsidRDefault="00E34048" w:rsidP="00E34048">
      <w:r w:rsidRPr="00E34048">
        <w:rPr>
          <w:i/>
        </w:rPr>
        <w:t>Stratum Weight.</w:t>
      </w:r>
      <w:r>
        <w:t xml:space="preserve"> Each stratum S is assigned a weight as follows:</w:t>
      </w:r>
    </w:p>
    <w:p w14:paraId="6DFA11D5" w14:textId="77777777" w:rsidR="00E34048" w:rsidRDefault="00696D67" w:rsidP="00E34048">
      <w:pPr>
        <w:jc w:val="center"/>
      </w:pPr>
      <w:proofErr w:type="spellStart"/>
      <w:r>
        <w:t>Stratum</w:t>
      </w:r>
      <w:r w:rsidR="00486DD0">
        <w:t>Weight</w:t>
      </w:r>
      <w:r w:rsidR="00E34048" w:rsidRPr="00E34048">
        <w:rPr>
          <w:vertAlign w:val="subscript"/>
        </w:rPr>
        <w:t>S</w:t>
      </w:r>
      <w:proofErr w:type="spellEnd"/>
      <w:r w:rsidR="00486DD0">
        <w:t xml:space="preserve"> = </w:t>
      </w:r>
      <w:proofErr w:type="spellStart"/>
      <w:r w:rsidR="00A100BE">
        <w:t>FrameOffers</w:t>
      </w:r>
      <w:r w:rsidR="00A100BE" w:rsidRPr="00E34048">
        <w:rPr>
          <w:vertAlign w:val="subscript"/>
        </w:rPr>
        <w:t>S</w:t>
      </w:r>
      <w:proofErr w:type="spellEnd"/>
      <w:r w:rsidR="00A100BE">
        <w:t xml:space="preserve"> </w:t>
      </w:r>
      <w:r w:rsidR="00486DD0">
        <w:t>/</w:t>
      </w:r>
      <w:r w:rsidR="00486DD0" w:rsidRPr="00486DD0">
        <w:t xml:space="preserve"> </w:t>
      </w:r>
      <w:proofErr w:type="spellStart"/>
      <w:r w:rsidR="00486DD0">
        <w:t>SampleOffers</w:t>
      </w:r>
      <w:r w:rsidR="00486DD0" w:rsidRPr="00E34048">
        <w:rPr>
          <w:vertAlign w:val="subscript"/>
        </w:rPr>
        <w:t>S</w:t>
      </w:r>
      <w:proofErr w:type="spellEnd"/>
      <w:r w:rsidR="00E34048">
        <w:t xml:space="preserve"> where</w:t>
      </w:r>
    </w:p>
    <w:p w14:paraId="2D8AFDC2" w14:textId="77777777" w:rsidR="00696D67" w:rsidRDefault="00E34048" w:rsidP="00CC6159">
      <w:proofErr w:type="spellStart"/>
      <w:r>
        <w:t>FrameOffers</w:t>
      </w:r>
      <w:r w:rsidRPr="00E34048">
        <w:rPr>
          <w:vertAlign w:val="subscript"/>
        </w:rPr>
        <w:t>S</w:t>
      </w:r>
      <w:proofErr w:type="spellEnd"/>
      <w:r>
        <w:t xml:space="preserve"> </w:t>
      </w:r>
      <w:r w:rsidR="001F4D20">
        <w:t xml:space="preserve">= </w:t>
      </w:r>
      <w:r w:rsidR="00696D67">
        <w:t xml:space="preserve">Total number of offers in the frame </w:t>
      </w:r>
      <w:r>
        <w:t xml:space="preserve">for </w:t>
      </w:r>
      <w:r w:rsidR="00696D67">
        <w:t>stratum</w:t>
      </w:r>
      <w:r w:rsidR="001F4D20">
        <w:t xml:space="preserve"> S</w:t>
      </w:r>
      <w:r w:rsidR="00A100BE">
        <w:t xml:space="preserve"> and</w:t>
      </w:r>
    </w:p>
    <w:p w14:paraId="4835CC2D" w14:textId="77777777" w:rsidR="00142839" w:rsidRDefault="00E34048" w:rsidP="00CC6159">
      <w:proofErr w:type="spellStart"/>
      <w:r>
        <w:t>SampleOffers</w:t>
      </w:r>
      <w:r w:rsidRPr="00E34048">
        <w:rPr>
          <w:vertAlign w:val="subscript"/>
        </w:rPr>
        <w:t>S</w:t>
      </w:r>
      <w:proofErr w:type="spellEnd"/>
      <w:r>
        <w:t xml:space="preserve"> </w:t>
      </w:r>
      <w:r w:rsidR="001F4D20">
        <w:t xml:space="preserve">= Total number of offers for stratum S in </w:t>
      </w:r>
      <w:r>
        <w:t xml:space="preserve">the </w:t>
      </w:r>
      <w:r w:rsidR="001F4D20">
        <w:t>sample</w:t>
      </w:r>
      <w:r>
        <w:t>.</w:t>
      </w:r>
    </w:p>
    <w:p w14:paraId="52E6A5E0" w14:textId="37B95F1A" w:rsidR="00310D7F" w:rsidRDefault="00310D7F" w:rsidP="00310D7F">
      <w:r>
        <w:rPr>
          <w:i/>
        </w:rPr>
        <w:t>Same Rate</w:t>
      </w:r>
      <w:r w:rsidRPr="00724322">
        <w:rPr>
          <w:i/>
        </w:rPr>
        <w:t xml:space="preserve"> Weight</w:t>
      </w:r>
      <w:r>
        <w:rPr>
          <w:i/>
        </w:rPr>
        <w:t xml:space="preserve"> (SRW)</w:t>
      </w:r>
      <w:r>
        <w:t xml:space="preserve">. </w:t>
      </w:r>
      <w:r w:rsidRPr="00A61E00">
        <w:t xml:space="preserve">Several respondents provided </w:t>
      </w:r>
      <w:r>
        <w:t xml:space="preserve">i) </w:t>
      </w:r>
      <w:r w:rsidRPr="00A61E00">
        <w:t xml:space="preserve">multiple </w:t>
      </w:r>
      <w:r>
        <w:t>service levels or ii) equal service levels via different technologies for the same rate in the same census tract.</w:t>
      </w:r>
      <w:r w:rsidR="00EB1FE1">
        <w:rPr>
          <w:rStyle w:val="FootnoteReference"/>
        </w:rPr>
        <w:footnoteReference w:id="3"/>
      </w:r>
      <w:r w:rsidR="00AF6533">
        <w:t xml:space="preserve"> </w:t>
      </w:r>
      <w:r>
        <w:t xml:space="preserve"> In such cases, the rate was assigned a Service Weight equal to 1/R</w:t>
      </w:r>
      <w:r w:rsidR="00AF6533">
        <w:t>,</w:t>
      </w:r>
      <w:r>
        <w:t xml:space="preserve"> where R is the number of rate responses provided by a service provi</w:t>
      </w:r>
      <w:r w:rsidR="0086347C">
        <w:t>der at the same rate in the</w:t>
      </w:r>
      <w:r>
        <w:t xml:space="preserve"> census tract.</w:t>
      </w:r>
    </w:p>
    <w:p w14:paraId="75765FCF" w14:textId="4E19DE99" w:rsidR="00724322" w:rsidRDefault="00724322" w:rsidP="007120BB">
      <w:r w:rsidRPr="00724322">
        <w:rPr>
          <w:i/>
        </w:rPr>
        <w:lastRenderedPageBreak/>
        <w:t xml:space="preserve">Service </w:t>
      </w:r>
      <w:r w:rsidR="00310D7F">
        <w:rPr>
          <w:i/>
        </w:rPr>
        <w:t xml:space="preserve">Level </w:t>
      </w:r>
      <w:r w:rsidRPr="00724322">
        <w:rPr>
          <w:i/>
        </w:rPr>
        <w:t>Weight</w:t>
      </w:r>
      <w:r w:rsidR="0043161D">
        <w:rPr>
          <w:i/>
        </w:rPr>
        <w:t xml:space="preserve"> (S</w:t>
      </w:r>
      <w:r w:rsidR="00310D7F">
        <w:rPr>
          <w:i/>
        </w:rPr>
        <w:t>L</w:t>
      </w:r>
      <w:r w:rsidR="0043161D">
        <w:rPr>
          <w:i/>
        </w:rPr>
        <w:t>W)</w:t>
      </w:r>
      <w:r w:rsidR="00DF41D3">
        <w:t xml:space="preserve">. </w:t>
      </w:r>
      <w:r w:rsidRPr="00A61E00">
        <w:t>Several respondents provided multiple rates for the same service level</w:t>
      </w:r>
      <w:r>
        <w:t xml:space="preserve"> </w:t>
      </w:r>
      <w:r w:rsidRPr="00A61E00">
        <w:t>offer</w:t>
      </w:r>
      <w:r w:rsidR="00DF41D3">
        <w:t>ed</w:t>
      </w:r>
      <w:r w:rsidRPr="00A61E00">
        <w:t xml:space="preserve"> via </w:t>
      </w:r>
      <w:r>
        <w:t>different</w:t>
      </w:r>
      <w:r w:rsidRPr="00A61E00">
        <w:t xml:space="preserve"> technologies</w:t>
      </w:r>
      <w:r>
        <w:t xml:space="preserve"> and/or service names</w:t>
      </w:r>
      <w:r w:rsidRPr="00A61E00">
        <w:t xml:space="preserve">. </w:t>
      </w:r>
      <w:r>
        <w:t xml:space="preserve"> Each rate was assigned a Service Weight equal to 1/L</w:t>
      </w:r>
      <w:r w:rsidR="00AF6533">
        <w:t>,</w:t>
      </w:r>
      <w:r>
        <w:t xml:space="preserve"> where L is the </w:t>
      </w:r>
      <w:r w:rsidR="0086347C">
        <w:t xml:space="preserve">number of responses </w:t>
      </w:r>
      <w:r w:rsidR="009A5A0E">
        <w:t xml:space="preserve">with different rates </w:t>
      </w:r>
      <w:r>
        <w:t>provided by a service provider for the same</w:t>
      </w:r>
      <w:r w:rsidR="00EF0405">
        <w:t xml:space="preserve"> download speed </w:t>
      </w:r>
      <w:r w:rsidR="0086347C">
        <w:t>in the</w:t>
      </w:r>
      <w:r>
        <w:t xml:space="preserve"> census tract.</w:t>
      </w:r>
    </w:p>
    <w:p w14:paraId="59467572" w14:textId="77777777" w:rsidR="00D70AFD" w:rsidRDefault="00D70AFD" w:rsidP="00D70AFD">
      <w:r>
        <w:t>Given a rate r in stratum S uniquely identified by census tract (CT), service provider (FRN), service name, technology, download speed, upload speed, and data cap, the weight for the rate is</w:t>
      </w:r>
    </w:p>
    <w:p w14:paraId="7F1469F5" w14:textId="77777777" w:rsidR="00D70AFD" w:rsidRDefault="00D70AFD" w:rsidP="0038217C">
      <w:pPr>
        <w:jc w:val="center"/>
        <w:rPr>
          <w:vertAlign w:val="subscript"/>
        </w:rPr>
      </w:pPr>
      <w:r>
        <w:t xml:space="preserve">Rate Weight = </w:t>
      </w:r>
      <w:proofErr w:type="spellStart"/>
      <w:r w:rsidR="00486DD0">
        <w:t>StratumWeight</w:t>
      </w:r>
      <w:r w:rsidR="00486DD0" w:rsidRPr="0038217C">
        <w:rPr>
          <w:vertAlign w:val="subscript"/>
        </w:rPr>
        <w:t>S</w:t>
      </w:r>
      <w:proofErr w:type="spellEnd"/>
      <w:r w:rsidR="00486DD0">
        <w:t xml:space="preserve"> x </w:t>
      </w:r>
      <w:proofErr w:type="spellStart"/>
      <w:r w:rsidR="00A100BE">
        <w:t>Offers</w:t>
      </w:r>
      <w:r w:rsidR="00A100BE" w:rsidRPr="00142839">
        <w:rPr>
          <w:vertAlign w:val="subscript"/>
        </w:rPr>
        <w:t>CT</w:t>
      </w:r>
      <w:proofErr w:type="gramStart"/>
      <w:r w:rsidR="00486DD0" w:rsidRPr="0038217C">
        <w:rPr>
          <w:vertAlign w:val="subscript"/>
        </w:rPr>
        <w:t>,FRN</w:t>
      </w:r>
      <w:proofErr w:type="spellEnd"/>
      <w:proofErr w:type="gramEnd"/>
      <w:r w:rsidR="00486DD0">
        <w:t xml:space="preserve"> x </w:t>
      </w:r>
      <w:proofErr w:type="spellStart"/>
      <w:r w:rsidR="002E26CF">
        <w:t>SRW</w:t>
      </w:r>
      <w:r w:rsidR="00486DD0" w:rsidRPr="0038217C">
        <w:rPr>
          <w:vertAlign w:val="subscript"/>
        </w:rPr>
        <w:t>r</w:t>
      </w:r>
      <w:proofErr w:type="spellEnd"/>
      <w:r w:rsidR="002E26CF" w:rsidRPr="002E26CF">
        <w:t xml:space="preserve"> </w:t>
      </w:r>
      <w:r w:rsidR="002E26CF">
        <w:t xml:space="preserve">x </w:t>
      </w:r>
      <w:proofErr w:type="spellStart"/>
      <w:r w:rsidR="002E26CF">
        <w:t>SLW</w:t>
      </w:r>
      <w:r w:rsidR="002E26CF" w:rsidRPr="0038217C">
        <w:rPr>
          <w:vertAlign w:val="subscript"/>
        </w:rPr>
        <w:t>r</w:t>
      </w:r>
      <w:proofErr w:type="spellEnd"/>
    </w:p>
    <w:p w14:paraId="4D31CA26" w14:textId="77777777" w:rsidR="00A100BE" w:rsidRPr="00A100BE" w:rsidRDefault="00A100BE" w:rsidP="00A100BE">
      <w:r w:rsidRPr="00A100BE">
        <w:t>Where</w:t>
      </w:r>
      <w:r>
        <w:t xml:space="preserve"> </w:t>
      </w:r>
      <w:proofErr w:type="spellStart"/>
      <w:r>
        <w:t>Offers</w:t>
      </w:r>
      <w:r w:rsidRPr="00142839">
        <w:rPr>
          <w:vertAlign w:val="subscript"/>
        </w:rPr>
        <w:t>CT</w:t>
      </w:r>
      <w:proofErr w:type="gramStart"/>
      <w:r w:rsidRPr="0038217C">
        <w:rPr>
          <w:vertAlign w:val="subscript"/>
        </w:rPr>
        <w:t>,FRN</w:t>
      </w:r>
      <w:proofErr w:type="spellEnd"/>
      <w:proofErr w:type="gramEnd"/>
      <w:r>
        <w:t xml:space="preserve"> = Number of offers from service provider FRN in census tract CT.</w:t>
      </w:r>
    </w:p>
    <w:p w14:paraId="0A24EE3F" w14:textId="77777777" w:rsidR="00FC35DA" w:rsidRDefault="00FC35DA" w:rsidP="00E0007E">
      <w:pPr>
        <w:keepNext/>
        <w:rPr>
          <w:b/>
        </w:rPr>
      </w:pPr>
      <w:r>
        <w:rPr>
          <w:b/>
        </w:rPr>
        <w:t>Regression</w:t>
      </w:r>
      <w:r w:rsidR="00610050">
        <w:rPr>
          <w:b/>
        </w:rPr>
        <w:t xml:space="preserve"> Analysis</w:t>
      </w:r>
      <w:r w:rsidRPr="00FC35DA">
        <w:rPr>
          <w:b/>
        </w:rPr>
        <w:t xml:space="preserve"> </w:t>
      </w:r>
    </w:p>
    <w:p w14:paraId="45D4A394" w14:textId="23A3ADFD" w:rsidR="00C9148A" w:rsidRDefault="00C9148A" w:rsidP="00C9148A">
      <w:r>
        <w:t>We applied a multidimensional weighted linear regression technique to all services with download bandwidths between 2 and 40 Mbps</w:t>
      </w:r>
      <w:r w:rsidR="00427B65">
        <w:t>,</w:t>
      </w:r>
      <w:r>
        <w:t xml:space="preserve"> inclusive.   This sub-sample of the data encompassed </w:t>
      </w:r>
      <w:r w:rsidR="00371245">
        <w:t>1</w:t>
      </w:r>
      <w:r w:rsidR="00A62F7F">
        <w:t>,</w:t>
      </w:r>
      <w:r w:rsidR="00D30577">
        <w:t>735</w:t>
      </w:r>
      <w:r>
        <w:t xml:space="preserve"> rates </w:t>
      </w:r>
      <w:r w:rsidR="00A62F7F">
        <w:t>from</w:t>
      </w:r>
      <w:r w:rsidR="00371245">
        <w:t xml:space="preserve"> </w:t>
      </w:r>
      <w:r w:rsidR="00D30577">
        <w:t>403</w:t>
      </w:r>
      <w:r w:rsidR="00371245">
        <w:t xml:space="preserve"> responses encompassing</w:t>
      </w:r>
      <w:r>
        <w:t xml:space="preserve"> </w:t>
      </w:r>
      <w:r w:rsidR="00D30577">
        <w:t>135</w:t>
      </w:r>
      <w:r>
        <w:t xml:space="preserve"> different providers in </w:t>
      </w:r>
      <w:r w:rsidR="00D30577">
        <w:t>401</w:t>
      </w:r>
      <w:r>
        <w:t xml:space="preserve"> </w:t>
      </w:r>
      <w:r w:rsidR="00371245">
        <w:t xml:space="preserve">different </w:t>
      </w:r>
      <w:r>
        <w:t>census tracts.  The rates in this sub-sample ranged from $</w:t>
      </w:r>
      <w:r w:rsidR="005958A1">
        <w:t>6.99</w:t>
      </w:r>
      <w:r>
        <w:t xml:space="preserve"> to $</w:t>
      </w:r>
      <w:r w:rsidR="00F85581">
        <w:t>200.00</w:t>
      </w:r>
      <w:r>
        <w:t xml:space="preserve"> with a weighted standard deviation of $</w:t>
      </w:r>
      <w:r w:rsidR="00F85581">
        <w:t>17.3639</w:t>
      </w:r>
      <w:r>
        <w:t>.  We undertook a weighted linear regression fit based on the following model:</w:t>
      </w:r>
    </w:p>
    <w:p w14:paraId="0994438E" w14:textId="77777777" w:rsidR="00C9148A" w:rsidRDefault="00C9148A" w:rsidP="00C9148A">
      <w:pPr>
        <w:jc w:val="center"/>
      </w:pPr>
      <w:r>
        <w:t>Average Monthly Rate ($) = K</w:t>
      </w:r>
      <w:r w:rsidRPr="00FA5754">
        <w:rPr>
          <w:vertAlign w:val="subscript"/>
        </w:rPr>
        <w:t>0</w:t>
      </w:r>
      <w:r>
        <w:t xml:space="preserve"> + K</w:t>
      </w:r>
      <w:r w:rsidRPr="00FA5754">
        <w:rPr>
          <w:vertAlign w:val="subscript"/>
        </w:rPr>
        <w:t>D</w:t>
      </w:r>
      <w:r>
        <w:t xml:space="preserve"> D + K</w:t>
      </w:r>
      <w:r w:rsidRPr="00FA5754">
        <w:rPr>
          <w:vertAlign w:val="subscript"/>
        </w:rPr>
        <w:t>U</w:t>
      </w:r>
      <w:r>
        <w:t xml:space="preserve"> </w:t>
      </w:r>
      <w:r w:rsidR="00FA5754">
        <w:t>U + K</w:t>
      </w:r>
      <w:r w:rsidR="00FA5754" w:rsidRPr="00FA5754">
        <w:rPr>
          <w:vertAlign w:val="subscript"/>
        </w:rPr>
        <w:t>UI</w:t>
      </w:r>
      <w:r w:rsidR="00FA5754">
        <w:t xml:space="preserve"> UI +</w:t>
      </w:r>
      <w:r>
        <w:t xml:space="preserve"> K</w:t>
      </w:r>
      <w:r w:rsidRPr="00FA5754">
        <w:rPr>
          <w:vertAlign w:val="subscript"/>
        </w:rPr>
        <w:t>A</w:t>
      </w:r>
      <w:r>
        <w:t xml:space="preserve"> A</w:t>
      </w:r>
    </w:p>
    <w:p w14:paraId="17F04973" w14:textId="66A099EF" w:rsidR="00C9148A" w:rsidRDefault="00C9148A" w:rsidP="00C9148A">
      <w:proofErr w:type="gramStart"/>
      <w:r>
        <w:t>for</w:t>
      </w:r>
      <w:proofErr w:type="gramEnd"/>
      <w:r>
        <w:t xml:space="preserve"> download speed in Mbps (D), upload speed in Mbps (U), </w:t>
      </w:r>
      <w:r w:rsidR="00FA5754">
        <w:t>unlimited usage allowance indicator (UI)</w:t>
      </w:r>
      <w:r w:rsidR="00427B65">
        <w:t>,</w:t>
      </w:r>
      <w:r w:rsidR="00FA5754">
        <w:rPr>
          <w:rStyle w:val="FootnoteReference"/>
        </w:rPr>
        <w:footnoteReference w:id="4"/>
      </w:r>
      <w:r w:rsidR="00FA5754">
        <w:t xml:space="preserve"> </w:t>
      </w:r>
      <w:r>
        <w:t xml:space="preserve">and </w:t>
      </w:r>
      <w:r w:rsidR="00FA5754">
        <w:t xml:space="preserve">the log of </w:t>
      </w:r>
      <w:r>
        <w:t>usage allowance in GB (A</w:t>
      </w:r>
      <w:r w:rsidR="00FA5754">
        <w:t>)</w:t>
      </w:r>
      <w:r w:rsidR="00427B65">
        <w:t>.</w:t>
      </w:r>
      <w:r w:rsidR="00FA5754">
        <w:rPr>
          <w:rStyle w:val="FootnoteReference"/>
        </w:rPr>
        <w:footnoteReference w:id="5"/>
      </w:r>
      <w:r>
        <w:t xml:space="preserve">   We estimated the parameters as:</w:t>
      </w:r>
    </w:p>
    <w:p w14:paraId="783E705B" w14:textId="77777777" w:rsidR="00C9148A" w:rsidRDefault="00C9148A" w:rsidP="00C9148A">
      <w:pPr>
        <w:jc w:val="center"/>
      </w:pPr>
      <w:r>
        <w:t xml:space="preserve">Average Monthly Rate ($) = </w:t>
      </w:r>
      <w:r w:rsidR="005C69AC">
        <w:t>12.7886</w:t>
      </w:r>
      <w:r>
        <w:t xml:space="preserve"> + </w:t>
      </w:r>
      <w:r w:rsidR="005C69AC">
        <w:t>1.1793</w:t>
      </w:r>
      <w:r>
        <w:t xml:space="preserve"> D + </w:t>
      </w:r>
      <w:r w:rsidR="005C69AC">
        <w:t>0.11665</w:t>
      </w:r>
      <w:r>
        <w:t xml:space="preserve"> U </w:t>
      </w:r>
      <w:r w:rsidR="00FA5754">
        <w:t xml:space="preserve">+ </w:t>
      </w:r>
      <w:r w:rsidR="005C69AC">
        <w:t>29.0361</w:t>
      </w:r>
      <w:r w:rsidR="00FA5754">
        <w:t xml:space="preserve"> UI +</w:t>
      </w:r>
      <w:r>
        <w:t xml:space="preserve"> </w:t>
      </w:r>
      <w:r w:rsidR="005C69AC">
        <w:t>11.4907</w:t>
      </w:r>
      <w:r>
        <w:t xml:space="preserve"> A.</w:t>
      </w:r>
    </w:p>
    <w:p w14:paraId="0E693A03" w14:textId="3BBA10F4" w:rsidR="00C9148A" w:rsidRDefault="00C9148A" w:rsidP="00C9148A">
      <w:r>
        <w:t>The weighted R Squared was 0.</w:t>
      </w:r>
      <w:r w:rsidR="005C69AC">
        <w:t>52</w:t>
      </w:r>
      <w:r w:rsidR="00427B65">
        <w:t>,</w:t>
      </w:r>
      <w:r>
        <w:t xml:space="preserve"> and each estimated coeffi</w:t>
      </w:r>
      <w:r w:rsidR="008A54BB">
        <w:t>cient was</w:t>
      </w:r>
      <w:r w:rsidR="00371245">
        <w:t xml:space="preserve"> highly</w:t>
      </w:r>
      <w:r w:rsidR="008A54BB">
        <w:t xml:space="preserve"> significant </w:t>
      </w:r>
      <w:r w:rsidR="00371245">
        <w:t xml:space="preserve">(&lt; </w:t>
      </w:r>
      <w:r w:rsidR="008679B3">
        <w:t>0</w:t>
      </w:r>
      <w:r w:rsidR="00371245">
        <w:t>.0001 significance)</w:t>
      </w:r>
      <w:r w:rsidR="00427B65">
        <w:t>,</w:t>
      </w:r>
      <w:r w:rsidR="00371245">
        <w:t xml:space="preserve"> except for K</w:t>
      </w:r>
      <w:r w:rsidR="00371245" w:rsidRPr="00FA5754">
        <w:rPr>
          <w:vertAlign w:val="subscript"/>
        </w:rPr>
        <w:t>U</w:t>
      </w:r>
      <w:r w:rsidR="00371245">
        <w:t xml:space="preserve"> </w:t>
      </w:r>
      <w:r w:rsidR="00EF0405">
        <w:t xml:space="preserve">which </w:t>
      </w:r>
      <w:r w:rsidR="005C69AC">
        <w:t>was not statistically significant</w:t>
      </w:r>
      <w:r w:rsidR="00371245">
        <w:t>.</w:t>
      </w:r>
      <w:r w:rsidR="00197B52">
        <w:t xml:space="preserve"> </w:t>
      </w:r>
    </w:p>
    <w:p w14:paraId="75E34EBE" w14:textId="3A3E5A57" w:rsidR="00874F68" w:rsidRDefault="005C69AC" w:rsidP="005C69AC">
      <w:r>
        <w:t xml:space="preserve">The reasonable comparability benchmark is the estimated average monthly rate plus twice the standard deviation of rates for service plans with download speeds of 10 Mbps or greater, upload speeds of 1 Mbps or greater, and usage allowance of 100 GB or greater.  The root weighted mean squared </w:t>
      </w:r>
      <w:r w:rsidR="00874F68">
        <w:t xml:space="preserve">residual </w:t>
      </w:r>
      <w:r>
        <w:t>(RWMS</w:t>
      </w:r>
      <w:r w:rsidR="00874F68">
        <w:t>R</w:t>
      </w:r>
      <w:r>
        <w:t>)</w:t>
      </w:r>
      <w:r w:rsidRPr="00BF244C">
        <w:rPr>
          <w:rStyle w:val="FootnoteReference"/>
        </w:rPr>
        <w:t xml:space="preserve"> </w:t>
      </w:r>
      <w:r>
        <w:rPr>
          <w:rStyle w:val="FootnoteReference"/>
        </w:rPr>
        <w:footnoteReference w:id="6"/>
      </w:r>
      <w:r>
        <w:t xml:space="preserve"> is an estimate of the standard deviation of rates for service plans meeting the reasonable comparability benchmark criteria. </w:t>
      </w:r>
    </w:p>
    <w:p w14:paraId="2C50BE12" w14:textId="466D2B84" w:rsidR="006209A2" w:rsidRDefault="00D64E75" w:rsidP="005C69AC">
      <w:r>
        <w:t xml:space="preserve">If the distribution of residuals was consistent across the range of download speeds, a single RWMSR could be calculated, doubled, and then added to the Average Monthly Rate equation to obtain an equation for the </w:t>
      </w:r>
      <w:r w:rsidR="00321630">
        <w:t xml:space="preserve">reasonable </w:t>
      </w:r>
      <w:r>
        <w:t xml:space="preserve">comparability benchmark. </w:t>
      </w:r>
      <w:r w:rsidR="003C4B2C">
        <w:t xml:space="preserve"> </w:t>
      </w:r>
      <w:r>
        <w:t xml:space="preserve">However, in the 2016 Urban Rate Survey, residuals (and consequently, RWMSR and standard deviation) tend to be greater for lower download </w:t>
      </w:r>
      <w:r>
        <w:lastRenderedPageBreak/>
        <w:t xml:space="preserve">speeds than they are at higher download speeds. </w:t>
      </w:r>
      <w:r w:rsidR="003C4B2C">
        <w:t xml:space="preserve"> </w:t>
      </w:r>
      <w:r w:rsidR="002D6425">
        <w:t>The figure below is a bubble chart</w:t>
      </w:r>
      <w:r w:rsidR="002D6425">
        <w:rPr>
          <w:rStyle w:val="FootnoteReference"/>
        </w:rPr>
        <w:footnoteReference w:id="7"/>
      </w:r>
      <w:r w:rsidR="002D6425">
        <w:t xml:space="preserve"> plotting the </w:t>
      </w:r>
      <w:r w:rsidR="00AB6D32">
        <w:t xml:space="preserve">RWMSR </w:t>
      </w:r>
      <w:r w:rsidR="002D6425">
        <w:t xml:space="preserve">by download speed for rates with download speeds from 2 to 40 Mbps, upload speeds of 1 Mbps or greater, and usage allowance of 100 GB or greater. </w:t>
      </w:r>
      <w:r w:rsidR="003C4B2C">
        <w:t xml:space="preserve"> </w:t>
      </w:r>
      <w:r w:rsidR="006209A2">
        <w:t xml:space="preserve">The figure indicates that the </w:t>
      </w:r>
      <w:r w:rsidR="00AB6D32">
        <w:t xml:space="preserve">RWMSR </w:t>
      </w:r>
      <w:r w:rsidR="006209A2">
        <w:t>tends to be lower at download speeds greater than 10 Mbps.</w:t>
      </w:r>
    </w:p>
    <w:p w14:paraId="30987382" w14:textId="6817229C" w:rsidR="006209A2" w:rsidRDefault="00891CD0">
      <w:pPr>
        <w:jc w:val="center"/>
      </w:pPr>
      <w:r>
        <w:rPr>
          <w:noProof/>
        </w:rPr>
        <w:drawing>
          <wp:inline distT="0" distB="0" distL="0" distR="0" wp14:anchorId="5A97B8B3" wp14:editId="099598CD">
            <wp:extent cx="3429000" cy="3438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9000" cy="3438525"/>
                    </a:xfrm>
                    <a:prstGeom prst="rect">
                      <a:avLst/>
                    </a:prstGeom>
                  </pic:spPr>
                </pic:pic>
              </a:graphicData>
            </a:graphic>
          </wp:inline>
        </w:drawing>
      </w:r>
    </w:p>
    <w:p w14:paraId="63941A31" w14:textId="652B3EC4" w:rsidR="00E71B00" w:rsidRDefault="00E71B00" w:rsidP="005C69AC">
      <w:r>
        <w:t xml:space="preserve">The </w:t>
      </w:r>
      <w:r w:rsidR="00321630">
        <w:t xml:space="preserve">reasonable </w:t>
      </w:r>
      <w:r>
        <w:t>comparability benchmark is the Average Monthly Rate plus twice the standard deviation of rates:</w:t>
      </w:r>
    </w:p>
    <w:p w14:paraId="43BDAD15" w14:textId="77777777" w:rsidR="00E71B00" w:rsidRDefault="00E71B00" w:rsidP="0027621F">
      <w:pPr>
        <w:jc w:val="center"/>
      </w:pPr>
      <w:r>
        <w:t xml:space="preserve">12.7886 + 1.1793 D + 0.11665 U + 29.0361 UI + 11.4907 A + 2 </w:t>
      </w:r>
      <w:r w:rsidR="00AB6D32">
        <w:t>RWMSR</w:t>
      </w:r>
    </w:p>
    <w:p w14:paraId="5EA5CBF4" w14:textId="77777777" w:rsidR="00E71B00" w:rsidRDefault="00E71B00" w:rsidP="005C69AC">
      <w:proofErr w:type="gramStart"/>
      <w:r>
        <w:t>where</w:t>
      </w:r>
      <w:proofErr w:type="gramEnd"/>
      <w:r>
        <w:t xml:space="preserve"> </w:t>
      </w:r>
      <w:r w:rsidR="00AB6D32">
        <w:t xml:space="preserve">RWMSR </w:t>
      </w:r>
      <w:r>
        <w:t>is an estimate of the standard deviation of the rates.</w:t>
      </w:r>
    </w:p>
    <w:p w14:paraId="198E3ADE" w14:textId="051C8065" w:rsidR="00E71B00" w:rsidRDefault="00E71B00" w:rsidP="005C69AC">
      <w:r>
        <w:t xml:space="preserve">As indicated above, </w:t>
      </w:r>
      <w:r w:rsidR="00AB6D32">
        <w:t xml:space="preserve">RWMSR </w:t>
      </w:r>
      <w:r>
        <w:t xml:space="preserve">is not constant across download speeds. </w:t>
      </w:r>
      <w:r w:rsidR="003C4B2C">
        <w:t xml:space="preserve"> </w:t>
      </w:r>
      <w:r>
        <w:t xml:space="preserve">Treating </w:t>
      </w:r>
      <w:r w:rsidR="003C4B2C">
        <w:t>RWMSR</w:t>
      </w:r>
      <w:r>
        <w:t xml:space="preserve"> as a function of download speed, the comparability benchmark equation is:</w:t>
      </w:r>
    </w:p>
    <w:p w14:paraId="0075075B" w14:textId="77777777" w:rsidR="00E71B00" w:rsidRDefault="00E71B00" w:rsidP="00E71B00">
      <w:pPr>
        <w:jc w:val="center"/>
      </w:pPr>
      <w:r>
        <w:t xml:space="preserve">12.7886 + 1.1793 D + 0.11665 U + 29.0361 UI + 11.4907 A + 2 </w:t>
      </w:r>
      <w:proofErr w:type="gramStart"/>
      <w:r w:rsidR="00AB6D32">
        <w:t>RWMSR</w:t>
      </w:r>
      <w:r>
        <w:t>(</w:t>
      </w:r>
      <w:proofErr w:type="gramEnd"/>
      <w:r>
        <w:t>D).</w:t>
      </w:r>
    </w:p>
    <w:p w14:paraId="24A7E415" w14:textId="14579983" w:rsidR="00E71B00" w:rsidRDefault="00E71B00" w:rsidP="005C69AC">
      <w:r>
        <w:t>This equation can be rewritten as</w:t>
      </w:r>
      <w:r w:rsidR="003C4B2C">
        <w:t>:</w:t>
      </w:r>
    </w:p>
    <w:p w14:paraId="57E5D20B" w14:textId="77777777" w:rsidR="00E71B00" w:rsidRDefault="00E71B00" w:rsidP="00E71B00">
      <w:pPr>
        <w:jc w:val="center"/>
      </w:pPr>
      <w:r>
        <w:t xml:space="preserve">12.7886 + </w:t>
      </w:r>
      <w:proofErr w:type="gramStart"/>
      <w:r>
        <w:t>C(</w:t>
      </w:r>
      <w:proofErr w:type="gramEnd"/>
      <w:r>
        <w:t>D) + 0.11665 U + 29.0361 UI + 11.4907 A</w:t>
      </w:r>
    </w:p>
    <w:p w14:paraId="26B7E23A" w14:textId="77777777" w:rsidR="00E71B00" w:rsidRDefault="00E71B00" w:rsidP="0027621F">
      <w:proofErr w:type="gramStart"/>
      <w:r>
        <w:t>where</w:t>
      </w:r>
      <w:proofErr w:type="gramEnd"/>
      <w:r>
        <w:t xml:space="preserve"> C(D) = 1.1793 D + 2 </w:t>
      </w:r>
      <w:r w:rsidR="00AB6D32">
        <w:t>RWMSR</w:t>
      </w:r>
      <w:r>
        <w:t>(D).</w:t>
      </w:r>
    </w:p>
    <w:p w14:paraId="776E8E5A" w14:textId="77777777" w:rsidR="00E71B00" w:rsidRDefault="00E71B00" w:rsidP="005C69AC"/>
    <w:p w14:paraId="6758173E" w14:textId="6055F363" w:rsidR="001C2079" w:rsidRDefault="001C2079" w:rsidP="005C69AC">
      <w:r>
        <w:t>The figure</w:t>
      </w:r>
      <w:r w:rsidR="00891CD0">
        <w:t xml:space="preserve"> below </w:t>
      </w:r>
      <w:r w:rsidR="00AB6D32">
        <w:t xml:space="preserve">plots </w:t>
      </w:r>
      <w:proofErr w:type="gramStart"/>
      <w:r w:rsidR="00AB6D32">
        <w:t>C(</w:t>
      </w:r>
      <w:proofErr w:type="gramEnd"/>
      <w:r w:rsidR="00AB6D32">
        <w:t xml:space="preserve">D) versus download speed squared. </w:t>
      </w:r>
      <w:r w:rsidR="003C4B2C">
        <w:t xml:space="preserve"> </w:t>
      </w:r>
      <w:r w:rsidR="00AB6D32">
        <w:t xml:space="preserve">The linear nature of the trend </w:t>
      </w:r>
      <w:r>
        <w:t xml:space="preserve">indicates that a quadratic fit </w:t>
      </w:r>
      <w:r w:rsidR="00AB6D32">
        <w:t xml:space="preserve">of </w:t>
      </w:r>
      <w:proofErr w:type="gramStart"/>
      <w:r w:rsidR="00AB6D32">
        <w:t>C(</w:t>
      </w:r>
      <w:proofErr w:type="gramEnd"/>
      <w:r w:rsidR="00AB6D32">
        <w:t xml:space="preserve">D) to download speed </w:t>
      </w:r>
      <w:r>
        <w:t>is reasonable.</w:t>
      </w:r>
      <w:r w:rsidR="002437BA">
        <w:t xml:space="preserve"> </w:t>
      </w:r>
      <w:r w:rsidR="003C4B2C">
        <w:t xml:space="preserve"> </w:t>
      </w:r>
      <w:r w:rsidR="002437BA">
        <w:t xml:space="preserve">The </w:t>
      </w:r>
      <w:r w:rsidR="00C154B6">
        <w:t xml:space="preserve">weighted </w:t>
      </w:r>
      <w:r w:rsidR="002437BA">
        <w:t>quadratic fit is</w:t>
      </w:r>
      <w:r w:rsidR="003C4B2C">
        <w:t>:</w:t>
      </w:r>
    </w:p>
    <w:p w14:paraId="39808BCD" w14:textId="77777777" w:rsidR="00C154B6" w:rsidRDefault="002437BA" w:rsidP="006D0944">
      <w:pPr>
        <w:jc w:val="center"/>
      </w:pPr>
      <w:proofErr w:type="gramStart"/>
      <w:r>
        <w:t>C</w:t>
      </w:r>
      <w:r w:rsidR="00AB6D32">
        <w:t>(</w:t>
      </w:r>
      <w:proofErr w:type="gramEnd"/>
      <w:r w:rsidR="00AB6D32">
        <w:t>D)</w:t>
      </w:r>
      <w:r>
        <w:t xml:space="preserve"> = </w:t>
      </w:r>
      <w:r w:rsidR="00C154B6">
        <w:t>30.6646 + 0.0258656 D</w:t>
      </w:r>
      <w:r w:rsidR="00C154B6" w:rsidRPr="00C154B6">
        <w:rPr>
          <w:vertAlign w:val="superscript"/>
        </w:rPr>
        <w:t>2</w:t>
      </w:r>
      <w:r w:rsidR="00C154B6">
        <w:t>.</w:t>
      </w:r>
    </w:p>
    <w:p w14:paraId="13800EFE" w14:textId="6931F357" w:rsidR="002437BA" w:rsidRDefault="00891CD0" w:rsidP="002437BA">
      <w:pPr>
        <w:jc w:val="center"/>
      </w:pPr>
      <w:r>
        <w:rPr>
          <w:noProof/>
        </w:rPr>
        <w:drawing>
          <wp:inline distT="0" distB="0" distL="0" distR="0" wp14:anchorId="3C513ED3" wp14:editId="13E405EA">
            <wp:extent cx="3429000" cy="3381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9000" cy="3381375"/>
                    </a:xfrm>
                    <a:prstGeom prst="rect">
                      <a:avLst/>
                    </a:prstGeom>
                  </pic:spPr>
                </pic:pic>
              </a:graphicData>
            </a:graphic>
          </wp:inline>
        </w:drawing>
      </w:r>
    </w:p>
    <w:p w14:paraId="32CBDFBF" w14:textId="4E455E73" w:rsidR="00C154B6" w:rsidRDefault="00C154B6" w:rsidP="00C154B6">
      <w:r>
        <w:t>Substituting</w:t>
      </w:r>
      <w:r w:rsidR="0027621F">
        <w:t xml:space="preserve"> </w:t>
      </w:r>
      <w:r w:rsidR="00AB6D32">
        <w:t xml:space="preserve">this formula for </w:t>
      </w:r>
      <w:proofErr w:type="gramStart"/>
      <w:r w:rsidR="00AB6D32">
        <w:t>C(</w:t>
      </w:r>
      <w:proofErr w:type="gramEnd"/>
      <w:r w:rsidR="00AB6D32">
        <w:t xml:space="preserve">D) </w:t>
      </w:r>
      <w:r>
        <w:t xml:space="preserve">in the equation for the </w:t>
      </w:r>
      <w:r w:rsidR="00AB6D32">
        <w:t>comparability benchmark</w:t>
      </w:r>
      <w:r>
        <w:t xml:space="preserve"> produces </w:t>
      </w:r>
      <w:r w:rsidR="006D0944">
        <w:t>the following</w:t>
      </w:r>
      <w:r>
        <w:t xml:space="preserve"> equation:</w:t>
      </w:r>
    </w:p>
    <w:p w14:paraId="52536213" w14:textId="77777777" w:rsidR="00C154B6" w:rsidRDefault="00C154B6" w:rsidP="00C154B6">
      <w:pPr>
        <w:jc w:val="center"/>
      </w:pPr>
      <w:r>
        <w:t>12.7886 + (30.6646 + 0.0258656 D</w:t>
      </w:r>
      <w:r w:rsidRPr="00C154B6">
        <w:rPr>
          <w:vertAlign w:val="superscript"/>
        </w:rPr>
        <w:t>2</w:t>
      </w:r>
      <w:r>
        <w:t>) + 0.11665 U + 29.0361 UI + 11.4907 A.</w:t>
      </w:r>
    </w:p>
    <w:p w14:paraId="63E65BE0" w14:textId="77777777" w:rsidR="005C69AC" w:rsidRDefault="005C69AC" w:rsidP="002437BA">
      <w:r>
        <w:t xml:space="preserve">Based on this </w:t>
      </w:r>
      <w:r w:rsidR="00C154B6">
        <w:t>fit</w:t>
      </w:r>
      <w:r>
        <w:t>, the equations for the reasonable comparability benchmark are:</w:t>
      </w:r>
    </w:p>
    <w:p w14:paraId="175F8C93" w14:textId="1D6BF2B6" w:rsidR="005C69AC" w:rsidRDefault="00891CD0" w:rsidP="006B5E10">
      <w:pPr>
        <w:ind w:firstLine="720"/>
      </w:pPr>
      <w:r>
        <w:t>72.4893</w:t>
      </w:r>
      <w:r w:rsidR="005C69AC">
        <w:t xml:space="preserve"> + </w:t>
      </w:r>
      <w:r w:rsidR="00C154B6">
        <w:t>0.0258656 D</w:t>
      </w:r>
      <w:r w:rsidR="00C154B6" w:rsidRPr="00C154B6">
        <w:rPr>
          <w:vertAlign w:val="superscript"/>
        </w:rPr>
        <w:t>2</w:t>
      </w:r>
      <w:r w:rsidR="00C154B6" w:rsidRPr="00C154B6">
        <w:t xml:space="preserve"> </w:t>
      </w:r>
      <w:r w:rsidR="005E256E">
        <w:t xml:space="preserve">+ 0.11665 U </w:t>
      </w:r>
      <w:r w:rsidR="005C69AC">
        <w:t xml:space="preserve">for unlimited usage allowance and </w:t>
      </w:r>
    </w:p>
    <w:p w14:paraId="47A0A1F8" w14:textId="77777777" w:rsidR="00C154B6" w:rsidRDefault="006B5E10" w:rsidP="006B5E10">
      <w:pPr>
        <w:ind w:firstLine="720"/>
      </w:pPr>
      <w:r>
        <w:t xml:space="preserve">43.4532 </w:t>
      </w:r>
      <w:r w:rsidR="008058D4">
        <w:t>+</w:t>
      </w:r>
      <w:r w:rsidR="005C69AC">
        <w:t xml:space="preserve"> </w:t>
      </w:r>
      <w:r w:rsidR="00C154B6">
        <w:t>0.0258656 D</w:t>
      </w:r>
      <w:r w:rsidR="00C154B6" w:rsidRPr="00C154B6">
        <w:rPr>
          <w:vertAlign w:val="superscript"/>
        </w:rPr>
        <w:t>2</w:t>
      </w:r>
      <w:r w:rsidR="00C154B6" w:rsidRPr="00C154B6">
        <w:t xml:space="preserve"> </w:t>
      </w:r>
      <w:r w:rsidR="005E256E">
        <w:t xml:space="preserve">+ 0.11665 U </w:t>
      </w:r>
      <w:r>
        <w:t xml:space="preserve">+ </w:t>
      </w:r>
      <w:proofErr w:type="gramStart"/>
      <w:r w:rsidR="008058D4">
        <w:t>Min[</w:t>
      </w:r>
      <w:proofErr w:type="gramEnd"/>
      <w:r w:rsidR="008058D4">
        <w:t>29.0361, 11.4907</w:t>
      </w:r>
      <w:r w:rsidR="00C154B6">
        <w:t xml:space="preserve"> LOGA]</w:t>
      </w:r>
      <w:r>
        <w:t xml:space="preserve">  </w:t>
      </w:r>
      <w:r w:rsidR="00C154B6">
        <w:t xml:space="preserve"> otherwise</w:t>
      </w:r>
    </w:p>
    <w:p w14:paraId="78727444" w14:textId="77777777" w:rsidR="005C69AC" w:rsidRDefault="005C69AC" w:rsidP="005C69AC">
      <w:proofErr w:type="gramStart"/>
      <w:r>
        <w:t>where</w:t>
      </w:r>
      <w:proofErr w:type="gramEnd"/>
      <w:r>
        <w:t xml:space="preserve"> LOGA is </w:t>
      </w:r>
      <w:r w:rsidRPr="00430B95">
        <w:t>Log</w:t>
      </w:r>
      <w:r w:rsidRPr="007E2654">
        <w:rPr>
          <w:vertAlign w:val="subscript"/>
        </w:rPr>
        <w:t>10</w:t>
      </w:r>
      <w:r w:rsidRPr="00430B95">
        <w:t>[usage allowance in GB]</w:t>
      </w:r>
      <w:r>
        <w:t>.</w:t>
      </w:r>
    </w:p>
    <w:p w14:paraId="59E3585A" w14:textId="31764C6D" w:rsidR="005C69AC" w:rsidRDefault="00B24008" w:rsidP="005C69AC">
      <w:r>
        <w:t>The equation</w:t>
      </w:r>
      <w:r w:rsidR="006B5E10">
        <w:t>s</w:t>
      </w:r>
      <w:r>
        <w:t xml:space="preserve"> may </w:t>
      </w:r>
      <w:r w:rsidR="003C4B2C">
        <w:t xml:space="preserve">also </w:t>
      </w:r>
      <w:r>
        <w:t>be used i</w:t>
      </w:r>
      <w:r w:rsidR="005C69AC">
        <w:t>f a reasonable comparability benchmark is needed for lower download speeds greater than or equal to 4 Mbps</w:t>
      </w:r>
      <w:r>
        <w:t>.</w:t>
      </w:r>
    </w:p>
    <w:p w14:paraId="01C15415" w14:textId="77777777" w:rsidR="005C69AC" w:rsidRDefault="005C69AC" w:rsidP="005C69AC">
      <w:pPr>
        <w:keepNext/>
      </w:pPr>
      <w:r>
        <w:lastRenderedPageBreak/>
        <w:t>The table below provides examples of reasonable comparability benchmarks based on the above equations (rounded up to the nearest cent) for several service plan levels as well as equivalent bench</w:t>
      </w:r>
      <w:r w:rsidR="00EC12D1">
        <w:t>marks derived using the 2015</w:t>
      </w:r>
      <w:r>
        <w:t xml:space="preserve"> URS Broadband analysis.</w:t>
      </w:r>
    </w:p>
    <w:tbl>
      <w:tblPr>
        <w:tblW w:w="7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800"/>
        <w:gridCol w:w="1980"/>
        <w:gridCol w:w="1218"/>
        <w:gridCol w:w="960"/>
      </w:tblGrid>
      <w:tr w:rsidR="005C69AC" w:rsidRPr="00E0007E" w14:paraId="6933BD4D" w14:textId="77777777" w:rsidTr="00F724CE">
        <w:trPr>
          <w:trHeight w:val="300"/>
          <w:jc w:val="center"/>
        </w:trPr>
        <w:tc>
          <w:tcPr>
            <w:tcW w:w="1819" w:type="dxa"/>
            <w:shd w:val="clear" w:color="auto" w:fill="auto"/>
            <w:noWrap/>
            <w:vAlign w:val="bottom"/>
            <w:hideMark/>
          </w:tcPr>
          <w:p w14:paraId="70C365DE" w14:textId="77777777" w:rsidR="005C69AC" w:rsidRPr="00E0007E" w:rsidRDefault="005C69AC" w:rsidP="00F724CE">
            <w:pPr>
              <w:keepNext/>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Download Speed (Mbps)</w:t>
            </w:r>
          </w:p>
        </w:tc>
        <w:tc>
          <w:tcPr>
            <w:tcW w:w="1800" w:type="dxa"/>
            <w:shd w:val="clear" w:color="auto" w:fill="auto"/>
            <w:noWrap/>
            <w:vAlign w:val="bottom"/>
            <w:hideMark/>
          </w:tcPr>
          <w:p w14:paraId="1327F75B" w14:textId="77777777" w:rsidR="005C69AC" w:rsidRPr="00E0007E" w:rsidRDefault="005C69AC" w:rsidP="00F724CE">
            <w:pPr>
              <w:keepNext/>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Upload Speed (Mbps)</w:t>
            </w:r>
          </w:p>
        </w:tc>
        <w:tc>
          <w:tcPr>
            <w:tcW w:w="1980" w:type="dxa"/>
            <w:shd w:val="clear" w:color="auto" w:fill="auto"/>
            <w:noWrap/>
            <w:vAlign w:val="bottom"/>
            <w:hideMark/>
          </w:tcPr>
          <w:p w14:paraId="7F491248" w14:textId="77777777" w:rsidR="005C69AC" w:rsidRPr="00E0007E" w:rsidRDefault="005C69AC" w:rsidP="00F724CE">
            <w:pPr>
              <w:keepNext/>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Usage Allowance (GB)</w:t>
            </w:r>
          </w:p>
        </w:tc>
        <w:tc>
          <w:tcPr>
            <w:tcW w:w="1218" w:type="dxa"/>
            <w:shd w:val="clear" w:color="auto" w:fill="auto"/>
            <w:noWrap/>
            <w:vAlign w:val="bottom"/>
            <w:hideMark/>
          </w:tcPr>
          <w:p w14:paraId="314F4526" w14:textId="77777777" w:rsidR="005C69AC" w:rsidRPr="00E0007E" w:rsidRDefault="005E256E" w:rsidP="00F724CE">
            <w:pPr>
              <w:keepNext/>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2015</w:t>
            </w:r>
          </w:p>
        </w:tc>
        <w:tc>
          <w:tcPr>
            <w:tcW w:w="960" w:type="dxa"/>
            <w:shd w:val="clear" w:color="auto" w:fill="auto"/>
            <w:noWrap/>
            <w:vAlign w:val="bottom"/>
            <w:hideMark/>
          </w:tcPr>
          <w:p w14:paraId="491C9959" w14:textId="77777777" w:rsidR="005C69AC" w:rsidRPr="00E0007E" w:rsidRDefault="005E256E" w:rsidP="00F724CE">
            <w:pPr>
              <w:keepNext/>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2016</w:t>
            </w:r>
            <w:r w:rsidR="005C69AC">
              <w:rPr>
                <w:rStyle w:val="FootnoteReference"/>
                <w:rFonts w:ascii="Calibri" w:eastAsia="Times New Roman" w:hAnsi="Calibri" w:cs="Times New Roman"/>
                <w:color w:val="000000"/>
              </w:rPr>
              <w:footnoteReference w:id="8"/>
            </w:r>
          </w:p>
        </w:tc>
      </w:tr>
      <w:tr w:rsidR="005E256E" w:rsidRPr="00E0007E" w14:paraId="6E8382BE" w14:textId="77777777" w:rsidTr="00F724CE">
        <w:trPr>
          <w:trHeight w:val="300"/>
          <w:jc w:val="center"/>
        </w:trPr>
        <w:tc>
          <w:tcPr>
            <w:tcW w:w="1819" w:type="dxa"/>
            <w:shd w:val="clear" w:color="auto" w:fill="auto"/>
            <w:noWrap/>
            <w:vAlign w:val="bottom"/>
            <w:hideMark/>
          </w:tcPr>
          <w:p w14:paraId="00F2283D" w14:textId="77777777" w:rsidR="005E256E" w:rsidRPr="00E0007E" w:rsidRDefault="005E256E" w:rsidP="005E256E">
            <w:pPr>
              <w:keepNext/>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4</w:t>
            </w:r>
          </w:p>
        </w:tc>
        <w:tc>
          <w:tcPr>
            <w:tcW w:w="1800" w:type="dxa"/>
            <w:shd w:val="clear" w:color="auto" w:fill="auto"/>
            <w:noWrap/>
            <w:vAlign w:val="bottom"/>
            <w:hideMark/>
          </w:tcPr>
          <w:p w14:paraId="64FE69E6" w14:textId="77777777" w:rsidR="005E256E" w:rsidRPr="00E0007E" w:rsidRDefault="005E256E" w:rsidP="005E256E">
            <w:pPr>
              <w:keepNext/>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1</w:t>
            </w:r>
          </w:p>
        </w:tc>
        <w:tc>
          <w:tcPr>
            <w:tcW w:w="1980" w:type="dxa"/>
            <w:shd w:val="clear" w:color="auto" w:fill="auto"/>
            <w:noWrap/>
            <w:vAlign w:val="bottom"/>
            <w:hideMark/>
          </w:tcPr>
          <w:p w14:paraId="0F31902C" w14:textId="77777777" w:rsidR="005E256E" w:rsidRPr="00E0007E" w:rsidRDefault="005E256E" w:rsidP="005E256E">
            <w:pPr>
              <w:keepNext/>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100</w:t>
            </w:r>
          </w:p>
        </w:tc>
        <w:tc>
          <w:tcPr>
            <w:tcW w:w="1218" w:type="dxa"/>
            <w:shd w:val="clear" w:color="auto" w:fill="auto"/>
            <w:noWrap/>
            <w:vAlign w:val="bottom"/>
            <w:hideMark/>
          </w:tcPr>
          <w:p w14:paraId="7B74B156" w14:textId="77777777" w:rsidR="005E256E" w:rsidRPr="007F2462" w:rsidRDefault="005E256E" w:rsidP="005E256E">
            <w:pPr>
              <w:keepNext/>
              <w:spacing w:after="0" w:line="240" w:lineRule="auto"/>
              <w:jc w:val="center"/>
              <w:rPr>
                <w:rFonts w:ascii="Calibri" w:eastAsia="Times New Roman" w:hAnsi="Calibri" w:cs="Times New Roman"/>
                <w:color w:val="000000"/>
              </w:rPr>
            </w:pPr>
            <w:r w:rsidRPr="007F2462">
              <w:rPr>
                <w:rFonts w:ascii="Calibri" w:eastAsia="Times New Roman" w:hAnsi="Calibri" w:cs="Times New Roman"/>
                <w:color w:val="000000"/>
              </w:rPr>
              <w:t>$61.49</w:t>
            </w:r>
          </w:p>
        </w:tc>
        <w:tc>
          <w:tcPr>
            <w:tcW w:w="960" w:type="dxa"/>
            <w:shd w:val="clear" w:color="auto" w:fill="auto"/>
            <w:noWrap/>
            <w:vAlign w:val="bottom"/>
            <w:hideMark/>
          </w:tcPr>
          <w:p w14:paraId="46C429C7" w14:textId="77777777" w:rsidR="005E256E" w:rsidRPr="007F2462" w:rsidRDefault="005E256E" w:rsidP="00EC12D1">
            <w:pPr>
              <w:keepNext/>
              <w:spacing w:after="0" w:line="240" w:lineRule="auto"/>
              <w:jc w:val="center"/>
              <w:rPr>
                <w:rFonts w:ascii="Calibri" w:eastAsia="Times New Roman" w:hAnsi="Calibri" w:cs="Times New Roman"/>
                <w:color w:val="000000"/>
              </w:rPr>
            </w:pPr>
            <w:r w:rsidRPr="007F2462">
              <w:rPr>
                <w:rFonts w:ascii="Calibri" w:eastAsia="Times New Roman" w:hAnsi="Calibri" w:cs="Times New Roman"/>
                <w:color w:val="000000"/>
              </w:rPr>
              <w:t>$</w:t>
            </w:r>
            <w:r w:rsidR="006D0944" w:rsidRPr="007F2462">
              <w:rPr>
                <w:rFonts w:ascii="Calibri" w:eastAsia="Times New Roman" w:hAnsi="Calibri" w:cs="Times New Roman"/>
                <w:color w:val="000000"/>
              </w:rPr>
              <w:t>66.97</w:t>
            </w:r>
          </w:p>
        </w:tc>
      </w:tr>
      <w:tr w:rsidR="005E256E" w:rsidRPr="00E0007E" w14:paraId="7580396D" w14:textId="77777777" w:rsidTr="00F724CE">
        <w:trPr>
          <w:trHeight w:val="300"/>
          <w:jc w:val="center"/>
        </w:trPr>
        <w:tc>
          <w:tcPr>
            <w:tcW w:w="1819" w:type="dxa"/>
            <w:shd w:val="clear" w:color="auto" w:fill="auto"/>
            <w:noWrap/>
            <w:vAlign w:val="bottom"/>
            <w:hideMark/>
          </w:tcPr>
          <w:p w14:paraId="463BAFDB" w14:textId="77777777" w:rsidR="005E256E" w:rsidRPr="00E0007E" w:rsidRDefault="005E256E" w:rsidP="005E256E">
            <w:pPr>
              <w:keepNext/>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4</w:t>
            </w:r>
          </w:p>
        </w:tc>
        <w:tc>
          <w:tcPr>
            <w:tcW w:w="1800" w:type="dxa"/>
            <w:shd w:val="clear" w:color="auto" w:fill="auto"/>
            <w:noWrap/>
            <w:vAlign w:val="bottom"/>
            <w:hideMark/>
          </w:tcPr>
          <w:p w14:paraId="7AD62FB5" w14:textId="77777777" w:rsidR="005E256E" w:rsidRPr="00E0007E" w:rsidRDefault="005E256E" w:rsidP="005E256E">
            <w:pPr>
              <w:keepNext/>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1</w:t>
            </w:r>
          </w:p>
        </w:tc>
        <w:tc>
          <w:tcPr>
            <w:tcW w:w="1980" w:type="dxa"/>
            <w:shd w:val="clear" w:color="auto" w:fill="auto"/>
            <w:noWrap/>
            <w:vAlign w:val="bottom"/>
            <w:hideMark/>
          </w:tcPr>
          <w:p w14:paraId="05F13A14" w14:textId="77777777" w:rsidR="005E256E" w:rsidRPr="00E0007E" w:rsidRDefault="005E256E" w:rsidP="005E256E">
            <w:pPr>
              <w:keepNext/>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Unlimited</w:t>
            </w:r>
          </w:p>
        </w:tc>
        <w:tc>
          <w:tcPr>
            <w:tcW w:w="1218" w:type="dxa"/>
            <w:shd w:val="clear" w:color="auto" w:fill="auto"/>
            <w:noWrap/>
            <w:vAlign w:val="bottom"/>
            <w:hideMark/>
          </w:tcPr>
          <w:p w14:paraId="124DC68B" w14:textId="77777777" w:rsidR="005E256E" w:rsidRPr="007F2462" w:rsidRDefault="005E256E" w:rsidP="005E256E">
            <w:pPr>
              <w:keepNext/>
              <w:spacing w:after="0" w:line="240" w:lineRule="auto"/>
              <w:jc w:val="center"/>
              <w:rPr>
                <w:rFonts w:ascii="Calibri" w:eastAsia="Times New Roman" w:hAnsi="Calibri" w:cs="Times New Roman"/>
                <w:color w:val="000000"/>
              </w:rPr>
            </w:pPr>
            <w:r w:rsidRPr="007F2462">
              <w:rPr>
                <w:rFonts w:ascii="Calibri" w:eastAsia="Times New Roman" w:hAnsi="Calibri" w:cs="Times New Roman"/>
                <w:color w:val="000000"/>
              </w:rPr>
              <w:t>$67.89</w:t>
            </w:r>
          </w:p>
        </w:tc>
        <w:tc>
          <w:tcPr>
            <w:tcW w:w="960" w:type="dxa"/>
            <w:shd w:val="clear" w:color="auto" w:fill="auto"/>
            <w:noWrap/>
            <w:vAlign w:val="bottom"/>
            <w:hideMark/>
          </w:tcPr>
          <w:p w14:paraId="4CC67B97" w14:textId="77777777" w:rsidR="005E256E" w:rsidRPr="007F2462" w:rsidRDefault="006D0944" w:rsidP="005E256E">
            <w:pPr>
              <w:keepNext/>
              <w:spacing w:after="0" w:line="240" w:lineRule="auto"/>
              <w:jc w:val="center"/>
              <w:rPr>
                <w:rFonts w:ascii="Calibri" w:eastAsia="Times New Roman" w:hAnsi="Calibri" w:cs="Times New Roman"/>
                <w:color w:val="000000"/>
              </w:rPr>
            </w:pPr>
            <w:r w:rsidRPr="007F2462">
              <w:rPr>
                <w:rFonts w:ascii="Calibri" w:eastAsia="Times New Roman" w:hAnsi="Calibri" w:cs="Times New Roman"/>
                <w:color w:val="000000"/>
              </w:rPr>
              <w:t>$73.02</w:t>
            </w:r>
          </w:p>
        </w:tc>
      </w:tr>
      <w:tr w:rsidR="005E256E" w:rsidRPr="00E0007E" w14:paraId="3FB75B11" w14:textId="77777777" w:rsidTr="00F724CE">
        <w:trPr>
          <w:trHeight w:val="300"/>
          <w:jc w:val="center"/>
        </w:trPr>
        <w:tc>
          <w:tcPr>
            <w:tcW w:w="1819" w:type="dxa"/>
            <w:shd w:val="clear" w:color="auto" w:fill="auto"/>
            <w:noWrap/>
            <w:vAlign w:val="bottom"/>
            <w:hideMark/>
          </w:tcPr>
          <w:p w14:paraId="5328082D" w14:textId="77777777" w:rsidR="005E256E" w:rsidRPr="00E0007E" w:rsidRDefault="005E256E" w:rsidP="005E256E">
            <w:pPr>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10</w:t>
            </w:r>
          </w:p>
        </w:tc>
        <w:tc>
          <w:tcPr>
            <w:tcW w:w="1800" w:type="dxa"/>
            <w:shd w:val="clear" w:color="auto" w:fill="auto"/>
            <w:noWrap/>
            <w:vAlign w:val="bottom"/>
            <w:hideMark/>
          </w:tcPr>
          <w:p w14:paraId="41CE90AC" w14:textId="77777777" w:rsidR="005E256E" w:rsidRPr="00E0007E" w:rsidRDefault="005E256E" w:rsidP="005E256E">
            <w:pPr>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1</w:t>
            </w:r>
          </w:p>
        </w:tc>
        <w:tc>
          <w:tcPr>
            <w:tcW w:w="1980" w:type="dxa"/>
            <w:shd w:val="clear" w:color="auto" w:fill="auto"/>
            <w:noWrap/>
            <w:vAlign w:val="bottom"/>
            <w:hideMark/>
          </w:tcPr>
          <w:p w14:paraId="2C90E6A9" w14:textId="77777777" w:rsidR="005E256E" w:rsidRPr="00E0007E" w:rsidRDefault="005E256E" w:rsidP="005E256E">
            <w:pPr>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100</w:t>
            </w:r>
          </w:p>
        </w:tc>
        <w:tc>
          <w:tcPr>
            <w:tcW w:w="1218" w:type="dxa"/>
            <w:shd w:val="clear" w:color="auto" w:fill="auto"/>
            <w:noWrap/>
            <w:vAlign w:val="bottom"/>
            <w:hideMark/>
          </w:tcPr>
          <w:p w14:paraId="4DEDA282" w14:textId="77777777" w:rsidR="005E256E" w:rsidRPr="007F2462" w:rsidRDefault="005E256E" w:rsidP="005E256E">
            <w:pPr>
              <w:spacing w:after="0" w:line="240" w:lineRule="auto"/>
              <w:jc w:val="center"/>
              <w:rPr>
                <w:rFonts w:ascii="Calibri" w:eastAsia="Times New Roman" w:hAnsi="Calibri" w:cs="Times New Roman"/>
                <w:color w:val="000000"/>
              </w:rPr>
            </w:pPr>
            <w:r w:rsidRPr="007F2462">
              <w:rPr>
                <w:rFonts w:ascii="Calibri" w:eastAsia="Times New Roman" w:hAnsi="Calibri" w:cs="Times New Roman"/>
                <w:color w:val="000000"/>
              </w:rPr>
              <w:t>$71.41</w:t>
            </w:r>
          </w:p>
        </w:tc>
        <w:tc>
          <w:tcPr>
            <w:tcW w:w="960" w:type="dxa"/>
            <w:shd w:val="clear" w:color="auto" w:fill="auto"/>
            <w:noWrap/>
            <w:vAlign w:val="bottom"/>
            <w:hideMark/>
          </w:tcPr>
          <w:p w14:paraId="30802926" w14:textId="77777777" w:rsidR="005E256E" w:rsidRPr="007F2462" w:rsidRDefault="006D0944" w:rsidP="006D0944">
            <w:pPr>
              <w:spacing w:after="0" w:line="240" w:lineRule="auto"/>
              <w:jc w:val="center"/>
              <w:rPr>
                <w:rFonts w:ascii="Calibri" w:eastAsia="Times New Roman" w:hAnsi="Calibri" w:cs="Times New Roman"/>
                <w:color w:val="000000"/>
              </w:rPr>
            </w:pPr>
            <w:r w:rsidRPr="007F2462">
              <w:rPr>
                <w:rFonts w:ascii="Calibri" w:eastAsia="Times New Roman" w:hAnsi="Calibri" w:cs="Times New Roman"/>
                <w:color w:val="000000"/>
              </w:rPr>
              <w:t>$69.14</w:t>
            </w:r>
          </w:p>
        </w:tc>
      </w:tr>
      <w:tr w:rsidR="00321630" w:rsidRPr="00E0007E" w14:paraId="7AF1EAEB" w14:textId="77777777" w:rsidTr="00F724CE">
        <w:trPr>
          <w:trHeight w:val="300"/>
          <w:jc w:val="center"/>
        </w:trPr>
        <w:tc>
          <w:tcPr>
            <w:tcW w:w="1819" w:type="dxa"/>
            <w:shd w:val="clear" w:color="auto" w:fill="auto"/>
            <w:noWrap/>
            <w:vAlign w:val="bottom"/>
          </w:tcPr>
          <w:p w14:paraId="23F807FA" w14:textId="2DCE34B4" w:rsidR="00321630" w:rsidRPr="00E0007E" w:rsidRDefault="00321630" w:rsidP="005E256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1800" w:type="dxa"/>
            <w:shd w:val="clear" w:color="auto" w:fill="auto"/>
            <w:noWrap/>
            <w:vAlign w:val="bottom"/>
          </w:tcPr>
          <w:p w14:paraId="7D56C600" w14:textId="5AC8B6A1" w:rsidR="00321630" w:rsidRPr="00E0007E" w:rsidRDefault="00321630" w:rsidP="005E256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980" w:type="dxa"/>
            <w:shd w:val="clear" w:color="auto" w:fill="auto"/>
            <w:noWrap/>
            <w:vAlign w:val="bottom"/>
          </w:tcPr>
          <w:p w14:paraId="04F6F972" w14:textId="61132523" w:rsidR="00321630" w:rsidRPr="00E0007E" w:rsidRDefault="00321630" w:rsidP="005E256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150</w:t>
            </w:r>
          </w:p>
        </w:tc>
        <w:tc>
          <w:tcPr>
            <w:tcW w:w="1218" w:type="dxa"/>
            <w:shd w:val="clear" w:color="auto" w:fill="auto"/>
            <w:noWrap/>
            <w:vAlign w:val="bottom"/>
          </w:tcPr>
          <w:p w14:paraId="11CC3F3E" w14:textId="07BBE5D0" w:rsidR="00321630" w:rsidRPr="007F2462" w:rsidRDefault="00321630" w:rsidP="007F2462">
            <w:pPr>
              <w:spacing w:after="0" w:line="240" w:lineRule="auto"/>
              <w:jc w:val="center"/>
              <w:rPr>
                <w:rFonts w:ascii="Calibri" w:eastAsia="Times New Roman" w:hAnsi="Calibri" w:cs="Times New Roman"/>
                <w:color w:val="000000"/>
              </w:rPr>
            </w:pPr>
            <w:r w:rsidRPr="007F2462">
              <w:rPr>
                <w:rFonts w:ascii="Calibri" w:eastAsia="Times New Roman" w:hAnsi="Calibri" w:cs="Times New Roman"/>
                <w:color w:val="000000"/>
              </w:rPr>
              <w:t>$</w:t>
            </w:r>
            <w:r w:rsidR="007F2462">
              <w:rPr>
                <w:rFonts w:ascii="Calibri" w:eastAsia="Times New Roman" w:hAnsi="Calibri" w:cs="Times New Roman"/>
                <w:color w:val="000000"/>
              </w:rPr>
              <w:t>73.44</w:t>
            </w:r>
          </w:p>
        </w:tc>
        <w:tc>
          <w:tcPr>
            <w:tcW w:w="960" w:type="dxa"/>
            <w:shd w:val="clear" w:color="auto" w:fill="auto"/>
            <w:noWrap/>
            <w:vAlign w:val="bottom"/>
          </w:tcPr>
          <w:p w14:paraId="63A2E32C" w14:textId="70629342" w:rsidR="00321630" w:rsidRPr="007F2462" w:rsidRDefault="00321630" w:rsidP="007F2462">
            <w:pPr>
              <w:spacing w:after="0" w:line="240" w:lineRule="auto"/>
              <w:jc w:val="center"/>
              <w:rPr>
                <w:rFonts w:ascii="Calibri" w:eastAsia="Times New Roman" w:hAnsi="Calibri" w:cs="Times New Roman"/>
                <w:color w:val="000000"/>
              </w:rPr>
            </w:pPr>
            <w:r w:rsidRPr="007F2462">
              <w:rPr>
                <w:rFonts w:ascii="Calibri" w:eastAsia="Times New Roman" w:hAnsi="Calibri" w:cs="Times New Roman"/>
                <w:color w:val="000000"/>
              </w:rPr>
              <w:t>$</w:t>
            </w:r>
            <w:r w:rsidR="007F2462">
              <w:rPr>
                <w:rFonts w:ascii="Calibri" w:eastAsia="Times New Roman" w:hAnsi="Calibri" w:cs="Times New Roman"/>
                <w:color w:val="000000"/>
              </w:rPr>
              <w:t>71.17</w:t>
            </w:r>
          </w:p>
        </w:tc>
      </w:tr>
      <w:tr w:rsidR="005E256E" w:rsidRPr="00E0007E" w14:paraId="6C36A5F7" w14:textId="77777777" w:rsidTr="00F724CE">
        <w:trPr>
          <w:trHeight w:val="300"/>
          <w:jc w:val="center"/>
        </w:trPr>
        <w:tc>
          <w:tcPr>
            <w:tcW w:w="1819" w:type="dxa"/>
            <w:shd w:val="clear" w:color="auto" w:fill="auto"/>
            <w:noWrap/>
            <w:vAlign w:val="bottom"/>
            <w:hideMark/>
          </w:tcPr>
          <w:p w14:paraId="782D60DB" w14:textId="77777777" w:rsidR="005E256E" w:rsidRPr="00E0007E" w:rsidRDefault="005E256E" w:rsidP="005E256E">
            <w:pPr>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10</w:t>
            </w:r>
          </w:p>
        </w:tc>
        <w:tc>
          <w:tcPr>
            <w:tcW w:w="1800" w:type="dxa"/>
            <w:shd w:val="clear" w:color="auto" w:fill="auto"/>
            <w:noWrap/>
            <w:vAlign w:val="bottom"/>
            <w:hideMark/>
          </w:tcPr>
          <w:p w14:paraId="7FE9AEE9" w14:textId="77777777" w:rsidR="005E256E" w:rsidRPr="00E0007E" w:rsidRDefault="005E256E" w:rsidP="005E256E">
            <w:pPr>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1</w:t>
            </w:r>
          </w:p>
        </w:tc>
        <w:tc>
          <w:tcPr>
            <w:tcW w:w="1980" w:type="dxa"/>
            <w:shd w:val="clear" w:color="auto" w:fill="auto"/>
            <w:noWrap/>
            <w:vAlign w:val="bottom"/>
            <w:hideMark/>
          </w:tcPr>
          <w:p w14:paraId="42E81C80" w14:textId="77777777" w:rsidR="005E256E" w:rsidRPr="00E0007E" w:rsidRDefault="005E256E" w:rsidP="005E256E">
            <w:pPr>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250</w:t>
            </w:r>
          </w:p>
        </w:tc>
        <w:tc>
          <w:tcPr>
            <w:tcW w:w="1218" w:type="dxa"/>
            <w:shd w:val="clear" w:color="auto" w:fill="auto"/>
            <w:noWrap/>
            <w:vAlign w:val="bottom"/>
            <w:hideMark/>
          </w:tcPr>
          <w:p w14:paraId="5D9A3E14" w14:textId="77777777" w:rsidR="005E256E" w:rsidRPr="007F2462" w:rsidRDefault="005E256E" w:rsidP="005E256E">
            <w:pPr>
              <w:spacing w:after="0" w:line="240" w:lineRule="auto"/>
              <w:jc w:val="center"/>
              <w:rPr>
                <w:rFonts w:ascii="Calibri" w:eastAsia="Times New Roman" w:hAnsi="Calibri" w:cs="Times New Roman"/>
                <w:color w:val="000000"/>
              </w:rPr>
            </w:pPr>
            <w:r w:rsidRPr="007F2462">
              <w:rPr>
                <w:rFonts w:ascii="Calibri" w:eastAsia="Times New Roman" w:hAnsi="Calibri" w:cs="Times New Roman"/>
                <w:color w:val="000000"/>
              </w:rPr>
              <w:t>$76.00</w:t>
            </w:r>
          </w:p>
        </w:tc>
        <w:tc>
          <w:tcPr>
            <w:tcW w:w="960" w:type="dxa"/>
            <w:shd w:val="clear" w:color="auto" w:fill="auto"/>
            <w:noWrap/>
            <w:vAlign w:val="bottom"/>
            <w:hideMark/>
          </w:tcPr>
          <w:p w14:paraId="014C6E78" w14:textId="77777777" w:rsidR="005E256E" w:rsidRPr="007F2462" w:rsidRDefault="006D0944" w:rsidP="005E256E">
            <w:pPr>
              <w:spacing w:after="0" w:line="240" w:lineRule="auto"/>
              <w:jc w:val="center"/>
              <w:rPr>
                <w:rFonts w:ascii="Calibri" w:eastAsia="Times New Roman" w:hAnsi="Calibri" w:cs="Times New Roman"/>
                <w:color w:val="000000"/>
              </w:rPr>
            </w:pPr>
            <w:r w:rsidRPr="007F2462">
              <w:rPr>
                <w:rFonts w:ascii="Calibri" w:eastAsia="Times New Roman" w:hAnsi="Calibri" w:cs="Times New Roman"/>
                <w:color w:val="000000"/>
              </w:rPr>
              <w:t>$73.72</w:t>
            </w:r>
          </w:p>
        </w:tc>
      </w:tr>
      <w:tr w:rsidR="005E256E" w:rsidRPr="00E0007E" w14:paraId="7F5C57AE" w14:textId="77777777" w:rsidTr="00F724CE">
        <w:trPr>
          <w:trHeight w:val="300"/>
          <w:jc w:val="center"/>
        </w:trPr>
        <w:tc>
          <w:tcPr>
            <w:tcW w:w="1819" w:type="dxa"/>
            <w:shd w:val="clear" w:color="auto" w:fill="auto"/>
            <w:noWrap/>
            <w:vAlign w:val="bottom"/>
            <w:hideMark/>
          </w:tcPr>
          <w:p w14:paraId="0789F3AA" w14:textId="77777777" w:rsidR="005E256E" w:rsidRPr="00E0007E" w:rsidRDefault="005E256E" w:rsidP="005E256E">
            <w:pPr>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10</w:t>
            </w:r>
          </w:p>
        </w:tc>
        <w:tc>
          <w:tcPr>
            <w:tcW w:w="1800" w:type="dxa"/>
            <w:shd w:val="clear" w:color="auto" w:fill="auto"/>
            <w:noWrap/>
            <w:vAlign w:val="bottom"/>
            <w:hideMark/>
          </w:tcPr>
          <w:p w14:paraId="5255743C" w14:textId="77777777" w:rsidR="005E256E" w:rsidRPr="00E0007E" w:rsidRDefault="005E256E" w:rsidP="005E256E">
            <w:pPr>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1</w:t>
            </w:r>
          </w:p>
        </w:tc>
        <w:tc>
          <w:tcPr>
            <w:tcW w:w="1980" w:type="dxa"/>
            <w:shd w:val="clear" w:color="auto" w:fill="auto"/>
            <w:noWrap/>
            <w:vAlign w:val="bottom"/>
            <w:hideMark/>
          </w:tcPr>
          <w:p w14:paraId="3358F378" w14:textId="77777777" w:rsidR="005E256E" w:rsidRPr="00E0007E" w:rsidRDefault="005E256E" w:rsidP="005E256E">
            <w:pPr>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Unlimited</w:t>
            </w:r>
          </w:p>
        </w:tc>
        <w:tc>
          <w:tcPr>
            <w:tcW w:w="1218" w:type="dxa"/>
            <w:shd w:val="clear" w:color="auto" w:fill="auto"/>
            <w:noWrap/>
            <w:vAlign w:val="bottom"/>
            <w:hideMark/>
          </w:tcPr>
          <w:p w14:paraId="76811BFB" w14:textId="77777777" w:rsidR="005E256E" w:rsidRPr="007F2462" w:rsidRDefault="005E256E" w:rsidP="005E256E">
            <w:pPr>
              <w:spacing w:after="0" w:line="240" w:lineRule="auto"/>
              <w:jc w:val="center"/>
              <w:rPr>
                <w:rFonts w:ascii="Calibri" w:eastAsia="Times New Roman" w:hAnsi="Calibri" w:cs="Times New Roman"/>
                <w:color w:val="000000"/>
              </w:rPr>
            </w:pPr>
            <w:r w:rsidRPr="007F2462">
              <w:rPr>
                <w:rFonts w:ascii="Calibri" w:eastAsia="Times New Roman" w:hAnsi="Calibri" w:cs="Times New Roman"/>
                <w:color w:val="000000"/>
              </w:rPr>
              <w:t>$77.81</w:t>
            </w:r>
          </w:p>
        </w:tc>
        <w:tc>
          <w:tcPr>
            <w:tcW w:w="960" w:type="dxa"/>
            <w:shd w:val="clear" w:color="auto" w:fill="auto"/>
            <w:noWrap/>
            <w:vAlign w:val="bottom"/>
            <w:hideMark/>
          </w:tcPr>
          <w:p w14:paraId="521B60C5" w14:textId="77777777" w:rsidR="005E256E" w:rsidRPr="007F2462" w:rsidRDefault="006D0944" w:rsidP="005E256E">
            <w:pPr>
              <w:spacing w:after="0" w:line="240" w:lineRule="auto"/>
              <w:jc w:val="center"/>
              <w:rPr>
                <w:rFonts w:ascii="Calibri" w:eastAsia="Times New Roman" w:hAnsi="Calibri" w:cs="Times New Roman"/>
                <w:color w:val="000000"/>
              </w:rPr>
            </w:pPr>
            <w:r w:rsidRPr="007F2462">
              <w:rPr>
                <w:rFonts w:ascii="Calibri" w:eastAsia="Times New Roman" w:hAnsi="Calibri" w:cs="Times New Roman"/>
                <w:color w:val="000000"/>
              </w:rPr>
              <w:t>$75.20</w:t>
            </w:r>
          </w:p>
        </w:tc>
      </w:tr>
      <w:tr w:rsidR="005E256E" w:rsidRPr="00E0007E" w14:paraId="33E69A2F" w14:textId="77777777" w:rsidTr="00F724CE">
        <w:trPr>
          <w:trHeight w:val="300"/>
          <w:jc w:val="center"/>
        </w:trPr>
        <w:tc>
          <w:tcPr>
            <w:tcW w:w="1819" w:type="dxa"/>
            <w:shd w:val="clear" w:color="auto" w:fill="auto"/>
            <w:noWrap/>
            <w:vAlign w:val="bottom"/>
            <w:hideMark/>
          </w:tcPr>
          <w:p w14:paraId="149CA08E" w14:textId="77777777" w:rsidR="005E256E" w:rsidRPr="00E0007E" w:rsidRDefault="005E256E" w:rsidP="005E256E">
            <w:pPr>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25</w:t>
            </w:r>
          </w:p>
        </w:tc>
        <w:tc>
          <w:tcPr>
            <w:tcW w:w="1800" w:type="dxa"/>
            <w:shd w:val="clear" w:color="auto" w:fill="auto"/>
            <w:noWrap/>
            <w:vAlign w:val="bottom"/>
            <w:hideMark/>
          </w:tcPr>
          <w:p w14:paraId="57C82241" w14:textId="77777777" w:rsidR="005E256E" w:rsidRPr="00E0007E" w:rsidRDefault="005E256E" w:rsidP="005E256E">
            <w:pPr>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5</w:t>
            </w:r>
          </w:p>
        </w:tc>
        <w:tc>
          <w:tcPr>
            <w:tcW w:w="1980" w:type="dxa"/>
            <w:shd w:val="clear" w:color="auto" w:fill="auto"/>
            <w:noWrap/>
            <w:vAlign w:val="bottom"/>
            <w:hideMark/>
          </w:tcPr>
          <w:p w14:paraId="33D6FA12" w14:textId="77777777" w:rsidR="005E256E" w:rsidRPr="00E0007E" w:rsidRDefault="005E256E" w:rsidP="005E256E">
            <w:pPr>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250</w:t>
            </w:r>
          </w:p>
        </w:tc>
        <w:tc>
          <w:tcPr>
            <w:tcW w:w="1218" w:type="dxa"/>
            <w:shd w:val="clear" w:color="auto" w:fill="auto"/>
            <w:noWrap/>
            <w:vAlign w:val="bottom"/>
            <w:hideMark/>
          </w:tcPr>
          <w:p w14:paraId="594451F0" w14:textId="77777777" w:rsidR="005E256E" w:rsidRPr="007F2462" w:rsidRDefault="005E256E" w:rsidP="005E256E">
            <w:pPr>
              <w:spacing w:after="0" w:line="240" w:lineRule="auto"/>
              <w:jc w:val="center"/>
              <w:rPr>
                <w:rFonts w:ascii="Calibri" w:eastAsia="Times New Roman" w:hAnsi="Calibri" w:cs="Times New Roman"/>
                <w:color w:val="000000"/>
              </w:rPr>
            </w:pPr>
            <w:r w:rsidRPr="007F2462">
              <w:rPr>
                <w:rFonts w:ascii="Calibri" w:eastAsia="Times New Roman" w:hAnsi="Calibri" w:cs="Times New Roman"/>
                <w:color w:val="000000"/>
              </w:rPr>
              <w:t>$95.09</w:t>
            </w:r>
          </w:p>
        </w:tc>
        <w:tc>
          <w:tcPr>
            <w:tcW w:w="960" w:type="dxa"/>
            <w:shd w:val="clear" w:color="auto" w:fill="auto"/>
            <w:noWrap/>
            <w:vAlign w:val="bottom"/>
            <w:hideMark/>
          </w:tcPr>
          <w:p w14:paraId="2D085661" w14:textId="77777777" w:rsidR="005E256E" w:rsidRPr="007F2462" w:rsidRDefault="006D0944" w:rsidP="005E256E">
            <w:pPr>
              <w:spacing w:after="0" w:line="240" w:lineRule="auto"/>
              <w:jc w:val="center"/>
              <w:rPr>
                <w:rFonts w:ascii="Calibri" w:eastAsia="Times New Roman" w:hAnsi="Calibri" w:cs="Times New Roman"/>
                <w:color w:val="000000"/>
              </w:rPr>
            </w:pPr>
            <w:r w:rsidRPr="007F2462">
              <w:rPr>
                <w:rFonts w:ascii="Calibri" w:eastAsia="Times New Roman" w:hAnsi="Calibri" w:cs="Times New Roman"/>
                <w:color w:val="000000"/>
              </w:rPr>
              <w:t>$87.76</w:t>
            </w:r>
          </w:p>
        </w:tc>
      </w:tr>
      <w:tr w:rsidR="005E256E" w:rsidRPr="00E0007E" w14:paraId="0427F524" w14:textId="77777777" w:rsidTr="00F724CE">
        <w:trPr>
          <w:trHeight w:val="300"/>
          <w:jc w:val="center"/>
        </w:trPr>
        <w:tc>
          <w:tcPr>
            <w:tcW w:w="1819" w:type="dxa"/>
            <w:shd w:val="clear" w:color="auto" w:fill="auto"/>
            <w:noWrap/>
            <w:vAlign w:val="bottom"/>
            <w:hideMark/>
          </w:tcPr>
          <w:p w14:paraId="30B5D9D6" w14:textId="77777777" w:rsidR="005E256E" w:rsidRPr="00E0007E" w:rsidRDefault="005E256E" w:rsidP="005E256E">
            <w:pPr>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25</w:t>
            </w:r>
          </w:p>
        </w:tc>
        <w:tc>
          <w:tcPr>
            <w:tcW w:w="1800" w:type="dxa"/>
            <w:shd w:val="clear" w:color="auto" w:fill="auto"/>
            <w:noWrap/>
            <w:vAlign w:val="bottom"/>
            <w:hideMark/>
          </w:tcPr>
          <w:p w14:paraId="4B72BBA3" w14:textId="77777777" w:rsidR="005E256E" w:rsidRPr="00E0007E" w:rsidRDefault="005E256E" w:rsidP="005E256E">
            <w:pPr>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5</w:t>
            </w:r>
          </w:p>
        </w:tc>
        <w:tc>
          <w:tcPr>
            <w:tcW w:w="1980" w:type="dxa"/>
            <w:shd w:val="clear" w:color="auto" w:fill="auto"/>
            <w:noWrap/>
            <w:vAlign w:val="bottom"/>
            <w:hideMark/>
          </w:tcPr>
          <w:p w14:paraId="0B952E57" w14:textId="77777777" w:rsidR="005E256E" w:rsidRPr="00E0007E" w:rsidRDefault="005E256E" w:rsidP="005E256E">
            <w:pPr>
              <w:spacing w:after="0" w:line="240" w:lineRule="auto"/>
              <w:jc w:val="center"/>
              <w:rPr>
                <w:rFonts w:ascii="Calibri" w:eastAsia="Times New Roman" w:hAnsi="Calibri" w:cs="Times New Roman"/>
                <w:color w:val="000000"/>
              </w:rPr>
            </w:pPr>
            <w:r w:rsidRPr="00E0007E">
              <w:rPr>
                <w:rFonts w:ascii="Calibri" w:eastAsia="Times New Roman" w:hAnsi="Calibri" w:cs="Times New Roman"/>
                <w:color w:val="000000"/>
              </w:rPr>
              <w:t>Unlimited</w:t>
            </w:r>
          </w:p>
        </w:tc>
        <w:tc>
          <w:tcPr>
            <w:tcW w:w="1218" w:type="dxa"/>
            <w:shd w:val="clear" w:color="auto" w:fill="auto"/>
            <w:noWrap/>
            <w:vAlign w:val="bottom"/>
            <w:hideMark/>
          </w:tcPr>
          <w:p w14:paraId="751F7613" w14:textId="77777777" w:rsidR="005E256E" w:rsidRPr="007F2462" w:rsidRDefault="005E256E" w:rsidP="005E256E">
            <w:pPr>
              <w:spacing w:after="0" w:line="240" w:lineRule="auto"/>
              <w:jc w:val="center"/>
              <w:rPr>
                <w:rFonts w:ascii="Calibri" w:eastAsia="Times New Roman" w:hAnsi="Calibri" w:cs="Times New Roman"/>
                <w:color w:val="000000"/>
              </w:rPr>
            </w:pPr>
            <w:r w:rsidRPr="007F2462">
              <w:rPr>
                <w:rFonts w:ascii="Calibri" w:eastAsia="Times New Roman" w:hAnsi="Calibri" w:cs="Times New Roman"/>
                <w:color w:val="000000"/>
              </w:rPr>
              <w:t>$96.90</w:t>
            </w:r>
          </w:p>
        </w:tc>
        <w:tc>
          <w:tcPr>
            <w:tcW w:w="960" w:type="dxa"/>
            <w:shd w:val="clear" w:color="auto" w:fill="auto"/>
            <w:noWrap/>
            <w:vAlign w:val="bottom"/>
            <w:hideMark/>
          </w:tcPr>
          <w:p w14:paraId="5301B920" w14:textId="77777777" w:rsidR="005E256E" w:rsidRPr="007F2462" w:rsidRDefault="006D0944" w:rsidP="005E256E">
            <w:pPr>
              <w:spacing w:after="0" w:line="240" w:lineRule="auto"/>
              <w:jc w:val="center"/>
              <w:rPr>
                <w:rFonts w:ascii="Calibri" w:eastAsia="Times New Roman" w:hAnsi="Calibri" w:cs="Times New Roman"/>
                <w:color w:val="000000"/>
              </w:rPr>
            </w:pPr>
            <w:r w:rsidRPr="007F2462">
              <w:rPr>
                <w:rFonts w:ascii="Calibri" w:eastAsia="Times New Roman" w:hAnsi="Calibri" w:cs="Times New Roman"/>
                <w:color w:val="000000"/>
              </w:rPr>
              <w:t>$89.24</w:t>
            </w:r>
          </w:p>
        </w:tc>
      </w:tr>
    </w:tbl>
    <w:p w14:paraId="0BF42ADE" w14:textId="77777777" w:rsidR="00C9148A" w:rsidRDefault="00C9148A" w:rsidP="00C9148A"/>
    <w:p w14:paraId="311D3062" w14:textId="77777777" w:rsidR="00FC35DA" w:rsidRDefault="00FC35DA" w:rsidP="00E0007E">
      <w:pPr>
        <w:keepNext/>
        <w:rPr>
          <w:b/>
        </w:rPr>
      </w:pPr>
      <w:r w:rsidRPr="00610050">
        <w:rPr>
          <w:b/>
        </w:rPr>
        <w:t>Appendix</w:t>
      </w:r>
      <w:r>
        <w:rPr>
          <w:b/>
        </w:rPr>
        <w:t xml:space="preserve">: Rates </w:t>
      </w:r>
      <w:r w:rsidR="00D74130">
        <w:rPr>
          <w:b/>
        </w:rPr>
        <w:t xml:space="preserve">Modified or </w:t>
      </w:r>
      <w:r>
        <w:rPr>
          <w:b/>
        </w:rPr>
        <w:t xml:space="preserve">Excluded </w:t>
      </w:r>
      <w:r w:rsidR="00D74130">
        <w:rPr>
          <w:b/>
        </w:rPr>
        <w:t>for</w:t>
      </w:r>
      <w:r>
        <w:rPr>
          <w:b/>
        </w:rPr>
        <w:t xml:space="preserve"> the Analysis</w:t>
      </w:r>
    </w:p>
    <w:p w14:paraId="77CF0A36" w14:textId="11A4D361" w:rsidR="008D5373" w:rsidRDefault="008D5373" w:rsidP="00610050">
      <w:r w:rsidRPr="008D5373">
        <w:t>Barry County Telephone Company</w:t>
      </w:r>
      <w:r>
        <w:t xml:space="preserve"> provided one response.</w:t>
      </w:r>
      <w:r w:rsidR="003C4B2C">
        <w:t xml:space="preserve"> </w:t>
      </w:r>
      <w:r>
        <w:t xml:space="preserve"> The response included rates for MEI.NET Business 1MB/256KB. </w:t>
      </w:r>
      <w:r w:rsidR="003C4B2C">
        <w:t xml:space="preserve"> </w:t>
      </w:r>
      <w:r>
        <w:t>This service was considered out of scope and was excluded from the analysis.</w:t>
      </w:r>
      <w:r w:rsidR="00F55D23">
        <w:t xml:space="preserve"> </w:t>
      </w:r>
      <w:r w:rsidR="003C4B2C">
        <w:t xml:space="preserve"> </w:t>
      </w:r>
      <w:r w:rsidR="00F55D23">
        <w:t xml:space="preserve">The response also included </w:t>
      </w:r>
      <w:r w:rsidR="00F55D23" w:rsidRPr="00F55D23">
        <w:t>MEI.NET 3 Meg Home BASIC</w:t>
      </w:r>
      <w:r w:rsidR="00F55D23">
        <w:t xml:space="preserve"> and MEI.NET 6 Meg Home PLUS services; the provider’s contact </w:t>
      </w:r>
      <w:r w:rsidR="00321630">
        <w:t xml:space="preserve">subsequently </w:t>
      </w:r>
      <w:r w:rsidR="00F55D23">
        <w:t>indicated that these services do not exist</w:t>
      </w:r>
      <w:r w:rsidR="00321630">
        <w:t>,</w:t>
      </w:r>
      <w:r w:rsidR="00F55D23">
        <w:t xml:space="preserve"> and so they were excluded from the analysis.</w:t>
      </w:r>
    </w:p>
    <w:p w14:paraId="5CC7A3DD" w14:textId="225ED21C" w:rsidR="008B6C48" w:rsidRDefault="008B6C48" w:rsidP="00610050">
      <w:proofErr w:type="spellStart"/>
      <w:r w:rsidRPr="008B6C48">
        <w:t>BelWave</w:t>
      </w:r>
      <w:proofErr w:type="spellEnd"/>
      <w:r w:rsidRPr="008B6C48">
        <w:t xml:space="preserve"> Communications, Inc.</w:t>
      </w:r>
      <w:r>
        <w:t xml:space="preserve"> provided one response to the survey.</w:t>
      </w:r>
      <w:r w:rsidR="003C4B2C">
        <w:t xml:space="preserve"> </w:t>
      </w:r>
      <w:r>
        <w:t xml:space="preserve"> The response provided rates only for Business Class Service.</w:t>
      </w:r>
      <w:r w:rsidR="003C4B2C">
        <w:t xml:space="preserve"> </w:t>
      </w:r>
      <w:r>
        <w:t xml:space="preserve"> This response was considered outside the scope of the survey and </w:t>
      </w:r>
      <w:r w:rsidR="003C4B2C">
        <w:t xml:space="preserve">was </w:t>
      </w:r>
      <w:r>
        <w:t>excluded from the analysis.</w:t>
      </w:r>
    </w:p>
    <w:p w14:paraId="71E64500" w14:textId="2AAF2DDA" w:rsidR="00222F3E" w:rsidRDefault="00222F3E" w:rsidP="00610050">
      <w:r w:rsidRPr="00222F3E">
        <w:t>Blue Ridge Cable Technologies, Inc.</w:t>
      </w:r>
      <w:r>
        <w:t xml:space="preserve"> provided one response to the survey. </w:t>
      </w:r>
      <w:r w:rsidR="003C4B2C">
        <w:t xml:space="preserve"> </w:t>
      </w:r>
      <w:r>
        <w:t xml:space="preserve">Comments in the response indicated that when multiple rates were provided, the low rate was for service in a bundle while the high rate was without a bundle. </w:t>
      </w:r>
      <w:r w:rsidR="003C4B2C">
        <w:t xml:space="preserve"> </w:t>
      </w:r>
      <w:r>
        <w:t xml:space="preserve">Consequently, only the </w:t>
      </w:r>
      <w:r w:rsidR="003C4B2C">
        <w:t xml:space="preserve">unbundled </w:t>
      </w:r>
      <w:r>
        <w:t>rates were used in the analysis.</w:t>
      </w:r>
    </w:p>
    <w:p w14:paraId="29F20A89" w14:textId="477D54FA" w:rsidR="00FD5FDC" w:rsidRDefault="001A1E81" w:rsidP="00610050">
      <w:proofErr w:type="spellStart"/>
      <w:r>
        <w:t>BounceLinx</w:t>
      </w:r>
      <w:proofErr w:type="spellEnd"/>
      <w:r>
        <w:t xml:space="preserve"> provided one response with five service levels.</w:t>
      </w:r>
      <w:r w:rsidR="003C4B2C">
        <w:t xml:space="preserve"> </w:t>
      </w:r>
      <w:r>
        <w:t xml:space="preserve"> The provider’s website only listed four of these service levels as residential.</w:t>
      </w:r>
      <w:r w:rsidR="00C939A0">
        <w:rPr>
          <w:rStyle w:val="FootnoteReference"/>
        </w:rPr>
        <w:footnoteReference w:id="9"/>
      </w:r>
      <w:r>
        <w:t xml:space="preserve"> </w:t>
      </w:r>
      <w:r w:rsidR="003C4B2C">
        <w:t xml:space="preserve"> </w:t>
      </w:r>
      <w:r>
        <w:t xml:space="preserve">The fifth service level (33/33/Unlimited with a $462 monthly charge) </w:t>
      </w:r>
      <w:r w:rsidR="00E96EDB">
        <w:t xml:space="preserve">was </w:t>
      </w:r>
      <w:r>
        <w:t xml:space="preserve">not residential </w:t>
      </w:r>
      <w:r w:rsidR="00E96EDB">
        <w:t xml:space="preserve">and </w:t>
      </w:r>
      <w:r>
        <w:t>was excluded from the analysis.</w:t>
      </w:r>
    </w:p>
    <w:p w14:paraId="458AF539" w14:textId="2E31CE5E" w:rsidR="00D44826" w:rsidRDefault="00D44826" w:rsidP="00610050">
      <w:proofErr w:type="spellStart"/>
      <w:r w:rsidRPr="00D44826">
        <w:t>Comporium</w:t>
      </w:r>
      <w:proofErr w:type="spellEnd"/>
      <w:r w:rsidRPr="00D44826">
        <w:t>, Inc.</w:t>
      </w:r>
      <w:r>
        <w:t xml:space="preserve"> provided one response to the survey. </w:t>
      </w:r>
      <w:r w:rsidR="00371560">
        <w:t xml:space="preserve"> </w:t>
      </w:r>
      <w:r>
        <w:t xml:space="preserve">Comments in the response indicated that when multiple rates were provided, the low rate was for residential customers while the high rate was for business customers. </w:t>
      </w:r>
      <w:r w:rsidR="00371560">
        <w:t xml:space="preserve"> </w:t>
      </w:r>
      <w:r>
        <w:t xml:space="preserve">Consequently, only the </w:t>
      </w:r>
      <w:r w:rsidR="00371560">
        <w:t xml:space="preserve">residential </w:t>
      </w:r>
      <w:r>
        <w:t>rates were used in the analysis.</w:t>
      </w:r>
    </w:p>
    <w:p w14:paraId="7EEE622C" w14:textId="2CF18BC0" w:rsidR="007871CE" w:rsidRDefault="007871CE" w:rsidP="00610050">
      <w:r w:rsidRPr="007871CE">
        <w:lastRenderedPageBreak/>
        <w:t>Cyber Mesa Computer Systems Incorporated</w:t>
      </w:r>
      <w:r w:rsidR="005B601A">
        <w:t xml:space="preserve"> provide two responses. </w:t>
      </w:r>
      <w:r w:rsidR="006C11CA">
        <w:t xml:space="preserve"> </w:t>
      </w:r>
      <w:r w:rsidR="005B601A">
        <w:t>One response provide</w:t>
      </w:r>
      <w:r w:rsidR="00C61982">
        <w:t>s</w:t>
      </w:r>
      <w:r w:rsidR="005B601A">
        <w:t xml:space="preserve"> rates for Enterprise Internet service. </w:t>
      </w:r>
      <w:r w:rsidR="006C11CA">
        <w:t xml:space="preserve"> </w:t>
      </w:r>
      <w:r w:rsidR="005B601A">
        <w:t>This service appears to be a business service</w:t>
      </w:r>
      <w:r w:rsidR="005B601A">
        <w:rPr>
          <w:rStyle w:val="FootnoteReference"/>
        </w:rPr>
        <w:footnoteReference w:id="10"/>
      </w:r>
      <w:r w:rsidR="006C11CA">
        <w:t xml:space="preserve"> and </w:t>
      </w:r>
      <w:r w:rsidR="005B601A">
        <w:t>was excluded from the analysis.</w:t>
      </w:r>
    </w:p>
    <w:p w14:paraId="1A39235B" w14:textId="786C40AC" w:rsidR="00BB047D" w:rsidRDefault="00BB047D" w:rsidP="00610050">
      <w:proofErr w:type="spellStart"/>
      <w:r w:rsidRPr="00BB047D">
        <w:t>DigitalPath</w:t>
      </w:r>
      <w:proofErr w:type="spellEnd"/>
      <w:r w:rsidRPr="00BB047D">
        <w:t>, Inc.</w:t>
      </w:r>
      <w:r>
        <w:t xml:space="preserve"> provided on</w:t>
      </w:r>
      <w:r w:rsidR="00C61982">
        <w:t>e</w:t>
      </w:r>
      <w:r>
        <w:t xml:space="preserve"> response. </w:t>
      </w:r>
      <w:r w:rsidR="00EE089D">
        <w:t xml:space="preserve"> </w:t>
      </w:r>
      <w:r>
        <w:t>The response included rates for several services for business customers</w:t>
      </w:r>
      <w:r>
        <w:rPr>
          <w:rStyle w:val="FootnoteReference"/>
        </w:rPr>
        <w:footnoteReference w:id="11"/>
      </w:r>
      <w:r>
        <w:t xml:space="preserve"> </w:t>
      </w:r>
      <w:r w:rsidR="00EE089D">
        <w:t xml:space="preserve">which </w:t>
      </w:r>
      <w:r>
        <w:t>were excluded from the analysis.</w:t>
      </w:r>
    </w:p>
    <w:p w14:paraId="1D0E06CB" w14:textId="45395720" w:rsidR="00FD5FDC" w:rsidRDefault="00E17198" w:rsidP="00610050">
      <w:r>
        <w:t>Fox Valley Internet</w:t>
      </w:r>
      <w:r w:rsidR="00D43920">
        <w:t xml:space="preserve"> </w:t>
      </w:r>
      <w:r>
        <w:t>provided two responses to the survey.</w:t>
      </w:r>
      <w:r w:rsidR="008E5332">
        <w:t xml:space="preserve"> </w:t>
      </w:r>
      <w:r>
        <w:t xml:space="preserve"> In one response, multiple rates were provided</w:t>
      </w:r>
      <w:r w:rsidR="00AE60FB">
        <w:t xml:space="preserve"> for two service levels</w:t>
      </w:r>
      <w:r>
        <w:t xml:space="preserve">. </w:t>
      </w:r>
      <w:r w:rsidR="008E5332">
        <w:t xml:space="preserve"> </w:t>
      </w:r>
      <w:r>
        <w:t>The provider’s contact indicated that the high rate was for business customers.</w:t>
      </w:r>
      <w:r w:rsidR="008E5332">
        <w:t xml:space="preserve"> </w:t>
      </w:r>
      <w:r>
        <w:t xml:space="preserve"> Consequently, only the low rates were used in the analysis.</w:t>
      </w:r>
    </w:p>
    <w:p w14:paraId="3E275E15" w14:textId="6BF9FD51" w:rsidR="000C2065" w:rsidRDefault="000C2065" w:rsidP="00610050">
      <w:r w:rsidRPr="000C2065">
        <w:t>Frontier Communications Corporation</w:t>
      </w:r>
      <w:r>
        <w:t xml:space="preserve"> provided multiple responses with multiple rates. </w:t>
      </w:r>
      <w:r w:rsidR="008E5332">
        <w:t xml:space="preserve"> </w:t>
      </w:r>
      <w:r>
        <w:t xml:space="preserve">The low rate was for customers paying for service via </w:t>
      </w:r>
      <w:r w:rsidR="008E5332">
        <w:t>automatic payment</w:t>
      </w:r>
      <w:r>
        <w:t>.</w:t>
      </w:r>
      <w:r w:rsidR="008E5332">
        <w:t xml:space="preserve"> </w:t>
      </w:r>
      <w:r>
        <w:t xml:space="preserve"> Since such payments may not be available to all customers, only the high rate was used in the analysis.</w:t>
      </w:r>
      <w:r w:rsidR="00670074">
        <w:t xml:space="preserve"> </w:t>
      </w:r>
      <w:r w:rsidR="008E5332">
        <w:t xml:space="preserve"> </w:t>
      </w:r>
      <w:r w:rsidR="00670074">
        <w:t>Also, in one census tract, Frontier provided two rate responses that were identical except for maximum activation cost</w:t>
      </w:r>
      <w:r w:rsidR="00C2654F">
        <w:t>; only the rate response which captured the minimum and maximum activation cost was retained for the analysis.</w:t>
      </w:r>
    </w:p>
    <w:p w14:paraId="07511849" w14:textId="74F502DC" w:rsidR="00FD5FDC" w:rsidRDefault="00D25A2D" w:rsidP="00D25A2D">
      <w:r w:rsidRPr="00D25A2D">
        <w:t>Hotwire Communications</w:t>
      </w:r>
      <w:r>
        <w:t xml:space="preserve"> provided three responses to the survey</w:t>
      </w:r>
      <w:r w:rsidR="00EB56E1">
        <w:t>.</w:t>
      </w:r>
      <w:r w:rsidR="00D62A2E">
        <w:t xml:space="preserve"> </w:t>
      </w:r>
      <w:r>
        <w:t xml:space="preserve"> Hotwire provides service predominantly to </w:t>
      </w:r>
      <w:r w:rsidR="00321630">
        <w:t xml:space="preserve">multi-family </w:t>
      </w:r>
      <w:r>
        <w:t>buildings (apartments, condos, student housing, etc.)</w:t>
      </w:r>
      <w:r w:rsidR="00D62A2E">
        <w:t xml:space="preserve"> and does not provide service to</w:t>
      </w:r>
      <w:r>
        <w:t xml:space="preserve"> individual residential customers. The Hotwire response was excluded from the analysis.</w:t>
      </w:r>
    </w:p>
    <w:p w14:paraId="4D1D5507" w14:textId="467D556D" w:rsidR="008C29E7" w:rsidRDefault="008C29E7" w:rsidP="00610050">
      <w:pPr>
        <w:rPr>
          <w:rFonts w:ascii="Calibri" w:eastAsia="Times New Roman" w:hAnsi="Calibri" w:cs="Calibri"/>
          <w:color w:val="000000"/>
        </w:rPr>
      </w:pPr>
      <w:proofErr w:type="spellStart"/>
      <w:r w:rsidRPr="008C29E7">
        <w:t>ImOn</w:t>
      </w:r>
      <w:proofErr w:type="spellEnd"/>
      <w:r w:rsidRPr="008C29E7">
        <w:t xml:space="preserve"> Communications, LLC</w:t>
      </w:r>
      <w:r w:rsidR="00324C34">
        <w:t xml:space="preserve"> </w:t>
      </w:r>
      <w:r w:rsidR="006A6239">
        <w:t>provided</w:t>
      </w:r>
      <w:r w:rsidR="00324C34">
        <w:t xml:space="preserve"> </w:t>
      </w:r>
      <w:r w:rsidR="006A6239">
        <w:t xml:space="preserve">one response to the survey. </w:t>
      </w:r>
      <w:r w:rsidR="00D62A2E">
        <w:t xml:space="preserve"> </w:t>
      </w:r>
      <w:r w:rsidR="006A6239">
        <w:t>T</w:t>
      </w:r>
      <w:r w:rsidR="00324C34">
        <w:t>wo service</w:t>
      </w:r>
      <w:r w:rsidR="006A6239">
        <w:t>s,</w:t>
      </w:r>
      <w:r w:rsidR="00324C34">
        <w:t xml:space="preserve"> </w:t>
      </w:r>
      <w:r w:rsidR="00324C34" w:rsidRPr="00324C34">
        <w:t>Internet Standard</w:t>
      </w:r>
      <w:r w:rsidR="00324C34">
        <w:t xml:space="preserve"> and </w:t>
      </w:r>
      <w:r w:rsidR="00324C34" w:rsidRPr="00324C34">
        <w:rPr>
          <w:rFonts w:ascii="Calibri" w:eastAsia="Times New Roman" w:hAnsi="Calibri" w:cs="Calibri"/>
          <w:color w:val="000000"/>
        </w:rPr>
        <w:t>Senior Internet Standard</w:t>
      </w:r>
      <w:r w:rsidR="006A6239">
        <w:rPr>
          <w:rFonts w:ascii="Calibri" w:eastAsia="Times New Roman" w:hAnsi="Calibri" w:cs="Calibri"/>
          <w:color w:val="000000"/>
        </w:rPr>
        <w:t>, have the</w:t>
      </w:r>
      <w:r w:rsidR="00324C34">
        <w:rPr>
          <w:rFonts w:ascii="Calibri" w:eastAsia="Times New Roman" w:hAnsi="Calibri" w:cs="Calibri"/>
          <w:color w:val="000000"/>
        </w:rPr>
        <w:t xml:space="preserve"> same service levels but different rates.</w:t>
      </w:r>
      <w:r w:rsidR="006A6239">
        <w:rPr>
          <w:rFonts w:ascii="Calibri" w:eastAsia="Times New Roman" w:hAnsi="Calibri" w:cs="Calibri"/>
          <w:color w:val="000000"/>
        </w:rPr>
        <w:t xml:space="preserve"> </w:t>
      </w:r>
      <w:r w:rsidR="00D62A2E">
        <w:rPr>
          <w:rFonts w:ascii="Calibri" w:eastAsia="Times New Roman" w:hAnsi="Calibri" w:cs="Calibri"/>
          <w:color w:val="000000"/>
        </w:rPr>
        <w:t xml:space="preserve"> Because </w:t>
      </w:r>
      <w:r w:rsidR="006A6239">
        <w:rPr>
          <w:rFonts w:ascii="Calibri" w:eastAsia="Times New Roman" w:hAnsi="Calibri" w:cs="Calibri"/>
          <w:color w:val="000000"/>
        </w:rPr>
        <w:t>the Senior Internet Standard service appears to be for a limited set of customers, it was excluded from the analysis.</w:t>
      </w:r>
    </w:p>
    <w:p w14:paraId="7953C355" w14:textId="51432378" w:rsidR="007A68E7" w:rsidRPr="00DD6C74" w:rsidRDefault="00BE748C" w:rsidP="00610050">
      <w:pPr>
        <w:rPr>
          <w:rFonts w:ascii="Calibri" w:eastAsia="Times New Roman" w:hAnsi="Calibri" w:cs="Calibri"/>
          <w:color w:val="000000"/>
        </w:rPr>
      </w:pPr>
      <w:proofErr w:type="spellStart"/>
      <w:r w:rsidRPr="00DD6C74">
        <w:rPr>
          <w:rFonts w:ascii="Calibri" w:eastAsia="Times New Roman" w:hAnsi="Calibri" w:cs="Calibri"/>
          <w:color w:val="000000"/>
        </w:rPr>
        <w:t>Intelliwave</w:t>
      </w:r>
      <w:proofErr w:type="spellEnd"/>
      <w:r w:rsidRPr="00DD6C74">
        <w:rPr>
          <w:rFonts w:ascii="Calibri" w:eastAsia="Times New Roman" w:hAnsi="Calibri" w:cs="Calibri"/>
          <w:color w:val="000000"/>
        </w:rPr>
        <w:t xml:space="preserve"> </w:t>
      </w:r>
      <w:r w:rsidR="007A68E7" w:rsidRPr="00DD6C74">
        <w:rPr>
          <w:rFonts w:ascii="Calibri" w:eastAsia="Times New Roman" w:hAnsi="Calibri" w:cs="Calibri"/>
          <w:color w:val="000000"/>
        </w:rPr>
        <w:t xml:space="preserve">provided one response. </w:t>
      </w:r>
      <w:r w:rsidR="004E2FF8">
        <w:rPr>
          <w:rFonts w:ascii="Calibri" w:eastAsia="Times New Roman" w:hAnsi="Calibri" w:cs="Calibri"/>
          <w:color w:val="000000"/>
        </w:rPr>
        <w:t xml:space="preserve"> </w:t>
      </w:r>
      <w:r w:rsidR="007A68E7" w:rsidRPr="00DD6C74">
        <w:rPr>
          <w:rFonts w:ascii="Calibri" w:eastAsia="Times New Roman" w:hAnsi="Calibri" w:cs="Calibri"/>
          <w:color w:val="000000"/>
        </w:rPr>
        <w:t xml:space="preserve">The response consisted of </w:t>
      </w:r>
      <w:r w:rsidRPr="00DD6C74">
        <w:rPr>
          <w:rFonts w:ascii="Calibri" w:eastAsia="Times New Roman" w:hAnsi="Calibri" w:cs="Calibri"/>
          <w:color w:val="000000"/>
        </w:rPr>
        <w:t xml:space="preserve">one service level </w:t>
      </w:r>
      <w:r w:rsidR="004E2FF8">
        <w:rPr>
          <w:rFonts w:ascii="Calibri" w:eastAsia="Times New Roman" w:hAnsi="Calibri" w:cs="Calibri"/>
          <w:color w:val="000000"/>
        </w:rPr>
        <w:t>with</w:t>
      </w:r>
      <w:r w:rsidR="007A68E7" w:rsidRPr="00DD6C74">
        <w:rPr>
          <w:rFonts w:ascii="Calibri" w:eastAsia="Times New Roman" w:hAnsi="Calibri" w:cs="Calibri"/>
          <w:color w:val="000000"/>
        </w:rPr>
        <w:t xml:space="preserve"> </w:t>
      </w:r>
      <w:r w:rsidRPr="00DD6C74">
        <w:rPr>
          <w:rFonts w:ascii="Calibri" w:eastAsia="Times New Roman" w:hAnsi="Calibri" w:cs="Calibri"/>
          <w:color w:val="000000"/>
        </w:rPr>
        <w:t xml:space="preserve">multiple rates. </w:t>
      </w:r>
      <w:r w:rsidR="007A68E7" w:rsidRPr="00DD6C74">
        <w:rPr>
          <w:rFonts w:ascii="Calibri" w:eastAsia="Times New Roman" w:hAnsi="Calibri" w:cs="Calibri"/>
          <w:color w:val="000000"/>
        </w:rPr>
        <w:t>The provider’s website</w:t>
      </w:r>
      <w:r w:rsidR="007A68E7" w:rsidRPr="00DD6C74">
        <w:rPr>
          <w:rStyle w:val="FootnoteReference"/>
          <w:rFonts w:ascii="Calibri" w:eastAsia="Times New Roman" w:hAnsi="Calibri" w:cs="Calibri"/>
          <w:color w:val="000000"/>
        </w:rPr>
        <w:footnoteReference w:id="12"/>
      </w:r>
      <w:r w:rsidR="007A68E7" w:rsidRPr="00DD6C74">
        <w:rPr>
          <w:rFonts w:ascii="Calibri" w:eastAsia="Times New Roman" w:hAnsi="Calibri" w:cs="Calibri"/>
          <w:color w:val="000000"/>
        </w:rPr>
        <w:t xml:space="preserve"> </w:t>
      </w:r>
      <w:r w:rsidRPr="00DD6C74">
        <w:rPr>
          <w:rFonts w:ascii="Calibri" w:eastAsia="Times New Roman" w:hAnsi="Calibri" w:cs="Calibri"/>
          <w:color w:val="000000"/>
        </w:rPr>
        <w:t xml:space="preserve">indicates that </w:t>
      </w:r>
      <w:r w:rsidR="007A68E7" w:rsidRPr="00DD6C74">
        <w:rPr>
          <w:rFonts w:ascii="Calibri" w:eastAsia="Times New Roman" w:hAnsi="Calibri" w:cs="Calibri"/>
          <w:color w:val="000000"/>
        </w:rPr>
        <w:t>the provider has</w:t>
      </w:r>
      <w:r w:rsidRPr="00DD6C74">
        <w:rPr>
          <w:rFonts w:ascii="Calibri" w:eastAsia="Times New Roman" w:hAnsi="Calibri" w:cs="Calibri"/>
          <w:color w:val="000000"/>
        </w:rPr>
        <w:t xml:space="preserve"> multiple service levels </w:t>
      </w:r>
      <w:r w:rsidR="00DD6C74" w:rsidRPr="00DD6C74">
        <w:rPr>
          <w:rFonts w:ascii="Calibri" w:eastAsia="Times New Roman" w:hAnsi="Calibri" w:cs="Calibri"/>
          <w:color w:val="000000"/>
        </w:rPr>
        <w:t>each with a single monthly rate. As the provider did not revise the response, this questionable data was not included in the analysis.</w:t>
      </w:r>
    </w:p>
    <w:p w14:paraId="1D799342" w14:textId="77777777" w:rsidR="00BB55C4" w:rsidRDefault="00BB55C4" w:rsidP="00610050">
      <w:pPr>
        <w:rPr>
          <w:rFonts w:ascii="Calibri" w:eastAsia="Times New Roman" w:hAnsi="Calibri" w:cs="Calibri"/>
          <w:color w:val="000000"/>
        </w:rPr>
      </w:pPr>
      <w:r w:rsidRPr="00BB55C4">
        <w:rPr>
          <w:rFonts w:ascii="Calibri" w:eastAsia="Times New Roman" w:hAnsi="Calibri" w:cs="Calibri"/>
          <w:color w:val="000000"/>
        </w:rPr>
        <w:t>Jackson Energy Authority</w:t>
      </w:r>
      <w:r w:rsidR="005D3F41">
        <w:rPr>
          <w:rFonts w:ascii="Calibri" w:eastAsia="Times New Roman" w:hAnsi="Calibri" w:cs="Calibri"/>
          <w:color w:val="000000"/>
        </w:rPr>
        <w:t xml:space="preserve"> provided one response with four </w:t>
      </w:r>
      <w:r w:rsidR="00640EE4">
        <w:rPr>
          <w:rFonts w:ascii="Calibri" w:eastAsia="Times New Roman" w:hAnsi="Calibri" w:cs="Calibri"/>
          <w:color w:val="000000"/>
        </w:rPr>
        <w:t>service levels</w:t>
      </w:r>
      <w:r>
        <w:rPr>
          <w:rFonts w:ascii="Calibri" w:eastAsia="Times New Roman" w:hAnsi="Calibri" w:cs="Calibri"/>
          <w:color w:val="000000"/>
        </w:rPr>
        <w:t xml:space="preserve">. </w:t>
      </w:r>
      <w:r w:rsidR="005D3F41">
        <w:rPr>
          <w:rFonts w:ascii="Calibri" w:eastAsia="Times New Roman" w:hAnsi="Calibri" w:cs="Calibri"/>
          <w:color w:val="000000"/>
        </w:rPr>
        <w:t xml:space="preserve">All of the </w:t>
      </w:r>
      <w:r w:rsidR="00640EE4">
        <w:rPr>
          <w:rFonts w:ascii="Calibri" w:eastAsia="Times New Roman" w:hAnsi="Calibri" w:cs="Calibri"/>
          <w:color w:val="000000"/>
        </w:rPr>
        <w:t>levels</w:t>
      </w:r>
      <w:r w:rsidR="005D3F41">
        <w:rPr>
          <w:rFonts w:ascii="Calibri" w:eastAsia="Times New Roman" w:hAnsi="Calibri" w:cs="Calibri"/>
          <w:color w:val="000000"/>
        </w:rPr>
        <w:t xml:space="preserve"> had a usage allowance of 0. In conversation, the provider’s contact indicated that these values should be “Unlimited”, not zero. </w:t>
      </w:r>
      <w:r w:rsidR="00B7044E">
        <w:rPr>
          <w:rFonts w:ascii="Calibri" w:eastAsia="Times New Roman" w:hAnsi="Calibri" w:cs="Calibri"/>
          <w:color w:val="000000"/>
        </w:rPr>
        <w:t>Consequently</w:t>
      </w:r>
      <w:r w:rsidR="005D3F41">
        <w:rPr>
          <w:rFonts w:ascii="Calibri" w:eastAsia="Times New Roman" w:hAnsi="Calibri" w:cs="Calibri"/>
          <w:color w:val="000000"/>
        </w:rPr>
        <w:t xml:space="preserve">, unlimited usage allowance was used for these </w:t>
      </w:r>
      <w:r w:rsidR="00640EE4">
        <w:rPr>
          <w:rFonts w:ascii="Calibri" w:eastAsia="Times New Roman" w:hAnsi="Calibri" w:cs="Calibri"/>
          <w:color w:val="000000"/>
        </w:rPr>
        <w:t>service levels</w:t>
      </w:r>
      <w:r w:rsidR="005D3F41">
        <w:rPr>
          <w:rFonts w:ascii="Calibri" w:eastAsia="Times New Roman" w:hAnsi="Calibri" w:cs="Calibri"/>
          <w:color w:val="000000"/>
        </w:rPr>
        <w:t xml:space="preserve"> in the analysis</w:t>
      </w:r>
      <w:r>
        <w:rPr>
          <w:rFonts w:ascii="Calibri" w:eastAsia="Times New Roman" w:hAnsi="Calibri" w:cs="Calibri"/>
          <w:color w:val="000000"/>
        </w:rPr>
        <w:t>.</w:t>
      </w:r>
      <w:r w:rsidR="00C81E1B">
        <w:rPr>
          <w:rFonts w:ascii="Calibri" w:eastAsia="Times New Roman" w:hAnsi="Calibri" w:cs="Calibri"/>
          <w:color w:val="000000"/>
        </w:rPr>
        <w:t xml:space="preserve"> </w:t>
      </w:r>
      <w:r w:rsidR="00640EE4">
        <w:rPr>
          <w:rFonts w:ascii="Calibri" w:eastAsia="Times New Roman" w:hAnsi="Calibri" w:cs="Calibri"/>
          <w:color w:val="000000"/>
        </w:rPr>
        <w:t>One rate for 75/25 service was part of a bundle; this rate was excluded from the analysis.</w:t>
      </w:r>
    </w:p>
    <w:p w14:paraId="5C131CB9" w14:textId="77777777" w:rsidR="001628FF" w:rsidRDefault="001628FF" w:rsidP="00610050">
      <w:r w:rsidRPr="001628FF">
        <w:t>Service Electric Cable TV, Inc.</w:t>
      </w:r>
      <w:r>
        <w:t xml:space="preserve"> provided two responses. The responses included rates for Commercial service for business customers.</w:t>
      </w:r>
      <w:r>
        <w:rPr>
          <w:rStyle w:val="FootnoteReference"/>
        </w:rPr>
        <w:footnoteReference w:id="13"/>
      </w:r>
      <w:r>
        <w:t xml:space="preserve"> These rates were excluded from the analysis.</w:t>
      </w:r>
    </w:p>
    <w:p w14:paraId="6441C590" w14:textId="12329B84" w:rsidR="00EA35E1" w:rsidRDefault="00EA35E1" w:rsidP="00610050">
      <w:proofErr w:type="spellStart"/>
      <w:r w:rsidRPr="00EA35E1">
        <w:t>Smartcom</w:t>
      </w:r>
      <w:proofErr w:type="spellEnd"/>
      <w:r w:rsidRPr="00EA35E1">
        <w:t xml:space="preserve"> Telephone, LLC</w:t>
      </w:r>
      <w:r>
        <w:t xml:space="preserve"> provide</w:t>
      </w:r>
      <w:r w:rsidR="00A229EB">
        <w:t>d</w:t>
      </w:r>
      <w:r>
        <w:t xml:space="preserve"> one response with four service levels. </w:t>
      </w:r>
      <w:r w:rsidR="00A229EB">
        <w:t xml:space="preserve"> </w:t>
      </w:r>
      <w:r>
        <w:t xml:space="preserve">In discussion with the provider’s contact, it was </w:t>
      </w:r>
      <w:r w:rsidR="00A229EB">
        <w:t xml:space="preserve">determined </w:t>
      </w:r>
      <w:r>
        <w:t>that the FTTH offering was marketed only to business</w:t>
      </w:r>
      <w:r w:rsidR="00A229EB">
        <w:t xml:space="preserve"> customers</w:t>
      </w:r>
      <w:r>
        <w:t>; this service level was exc</w:t>
      </w:r>
      <w:r w:rsidR="005F56D0">
        <w:t>luded from the analysis. The DS1</w:t>
      </w:r>
      <w:r>
        <w:t xml:space="preserve"> offering does have residential customers but </w:t>
      </w:r>
      <w:r>
        <w:lastRenderedPageBreak/>
        <w:t>is not actively marketed; it was e</w:t>
      </w:r>
      <w:r w:rsidR="005F56D0">
        <w:t xml:space="preserve">xcluded from the analysis. The </w:t>
      </w:r>
      <w:r>
        <w:t>DSL offering had multiple rates but the low rate</w:t>
      </w:r>
      <w:r w:rsidR="005F56D0">
        <w:t xml:space="preserve"> ($29.95)</w:t>
      </w:r>
      <w:r>
        <w:t xml:space="preserve"> is offered to residential customers.</w:t>
      </w:r>
      <w:r w:rsidR="00A229EB">
        <w:t xml:space="preserve"> Therefore, the low rate was included in the analysis. </w:t>
      </w:r>
      <w:r>
        <w:t xml:space="preserve"> </w:t>
      </w:r>
      <w:proofErr w:type="spellStart"/>
      <w:r w:rsidR="00BD0BD1">
        <w:t>Smartcom</w:t>
      </w:r>
      <w:proofErr w:type="spellEnd"/>
      <w:r w:rsidR="00BD0BD1">
        <w:t xml:space="preserve"> provided multiple rates for </w:t>
      </w:r>
      <w:r w:rsidR="00A229EB">
        <w:t xml:space="preserve">fixed wireless </w:t>
      </w:r>
      <w:r w:rsidR="00BD0BD1">
        <w:t xml:space="preserve">service. </w:t>
      </w:r>
      <w:r>
        <w:t xml:space="preserve">The </w:t>
      </w:r>
      <w:r w:rsidR="00A229EB">
        <w:t xml:space="preserve">fixed wireless </w:t>
      </w:r>
      <w:r>
        <w:t>offering has a maximum service lev</w:t>
      </w:r>
      <w:r w:rsidR="005F56D0">
        <w:t>el of 2/2/Unlimite</w:t>
      </w:r>
      <w:r w:rsidR="00BD0BD1">
        <w:t xml:space="preserve">d at the maximum rate of $69.95; </w:t>
      </w:r>
      <w:r w:rsidR="00A229EB">
        <w:t xml:space="preserve">fixed wireless </w:t>
      </w:r>
      <w:r w:rsidR="00BD0BD1">
        <w:t>offerings below this service level were not included in the analysis.</w:t>
      </w:r>
    </w:p>
    <w:p w14:paraId="4A4515C8" w14:textId="3C41380B" w:rsidR="000B1169" w:rsidRDefault="000B1169" w:rsidP="00610050">
      <w:r>
        <w:t xml:space="preserve">Time Warner </w:t>
      </w:r>
      <w:r w:rsidR="00C84DD4">
        <w:t xml:space="preserve">Cable provided multiple responses </w:t>
      </w:r>
      <w:r w:rsidR="00A229EB">
        <w:t xml:space="preserve">for </w:t>
      </w:r>
      <w:r w:rsidR="00C84DD4">
        <w:t>EarthLink service</w:t>
      </w:r>
      <w:r w:rsidR="00A229EB">
        <w:t>, but these services are not actively marketed to new customers</w:t>
      </w:r>
      <w:r w:rsidR="00C84DD4">
        <w:t xml:space="preserve">. </w:t>
      </w:r>
      <w:r w:rsidR="00A229EB">
        <w:t xml:space="preserve"> </w:t>
      </w:r>
      <w:r w:rsidR="00C84DD4">
        <w:t>Consequently, they were excluded from the analysis.</w:t>
      </w:r>
    </w:p>
    <w:p w14:paraId="576165C8" w14:textId="2D0FDC7B" w:rsidR="007966FF" w:rsidRDefault="007966FF" w:rsidP="00610050">
      <w:r>
        <w:t xml:space="preserve">The </w:t>
      </w:r>
      <w:r w:rsidRPr="007966FF">
        <w:t>Utah Telecommunication Open Infrastructure Agency</w:t>
      </w:r>
      <w:r>
        <w:t xml:space="preserve"> provided one response to the survey.</w:t>
      </w:r>
      <w:r w:rsidR="00EE5DE1">
        <w:t xml:space="preserve"> </w:t>
      </w:r>
      <w:r>
        <w:t xml:space="preserve"> The response indicated that it is “</w:t>
      </w:r>
      <w:r w:rsidRPr="007966FF">
        <w:t>a Governmental agency that provides wholesale transport to retail service providers.  Prohibited by Utah state law from providing retail services</w:t>
      </w:r>
      <w:r>
        <w:t xml:space="preserve">.” No monthly rates were provided. The </w:t>
      </w:r>
      <w:r w:rsidR="00EE5DE1">
        <w:t xml:space="preserve">response </w:t>
      </w:r>
      <w:r>
        <w:t>was considered outside the scope of the analysis.</w:t>
      </w:r>
    </w:p>
    <w:p w14:paraId="4E8A987A" w14:textId="09409268" w:rsidR="0083206C" w:rsidRDefault="0083206C" w:rsidP="00610050">
      <w:r>
        <w:t>Verizon New England provided one response.</w:t>
      </w:r>
      <w:r w:rsidR="00EE5DE1">
        <w:t xml:space="preserve"> </w:t>
      </w:r>
      <w:r>
        <w:t xml:space="preserve"> The response indicated that the “FTTH 500/500” service used DSL technology; this was corrected to FTTH.</w:t>
      </w:r>
    </w:p>
    <w:p w14:paraId="36084C99" w14:textId="672FDB9A" w:rsidR="000C0034" w:rsidRDefault="000C0034" w:rsidP="00610050">
      <w:r w:rsidRPr="000C0034">
        <w:t>Virginia Broadband, LLC</w:t>
      </w:r>
      <w:r>
        <w:t xml:space="preserve"> provided one response. </w:t>
      </w:r>
      <w:r w:rsidR="00EE5DE1">
        <w:t xml:space="preserve"> </w:t>
      </w:r>
      <w:r>
        <w:t>The provider’s website</w:t>
      </w:r>
      <w:r>
        <w:rPr>
          <w:rStyle w:val="FootnoteReference"/>
        </w:rPr>
        <w:footnoteReference w:id="14"/>
      </w:r>
      <w:r>
        <w:t xml:space="preserve"> indicates that it serves “</w:t>
      </w:r>
      <w:r w:rsidRPr="000C0034">
        <w:t>rural areas and towns of Central and Eastern Virginia</w:t>
      </w:r>
      <w:r>
        <w:t xml:space="preserve">.” </w:t>
      </w:r>
      <w:r w:rsidR="00EE5DE1">
        <w:t xml:space="preserve"> </w:t>
      </w:r>
      <w:r w:rsidRPr="000C0034">
        <w:t>The Office of Rural Health Policy</w:t>
      </w:r>
      <w:r>
        <w:t xml:space="preserve"> identifies the tract in the response as rural. </w:t>
      </w:r>
      <w:r w:rsidR="00EE5DE1">
        <w:t xml:space="preserve"> </w:t>
      </w:r>
      <w:r>
        <w:t>Consequently, the response was identified as out of scope and excluded from the analysis.</w:t>
      </w:r>
    </w:p>
    <w:p w14:paraId="776F5FF9" w14:textId="32087F8C" w:rsidR="00607B6A" w:rsidRDefault="00607B6A" w:rsidP="00610050">
      <w:r>
        <w:t xml:space="preserve">WEHCO Video Inc. provided two responses, each with 3 rates for services named </w:t>
      </w:r>
      <w:proofErr w:type="spellStart"/>
      <w:r>
        <w:t>Cablelynx</w:t>
      </w:r>
      <w:proofErr w:type="spellEnd"/>
      <w:r>
        <w:t xml:space="preserve"> Business Standard, </w:t>
      </w:r>
      <w:proofErr w:type="spellStart"/>
      <w:r>
        <w:t>Cablelynx</w:t>
      </w:r>
      <w:proofErr w:type="spellEnd"/>
      <w:r>
        <w:t xml:space="preserve"> Business Enhanced, and </w:t>
      </w:r>
      <w:proofErr w:type="spellStart"/>
      <w:r>
        <w:t>Cablelynx</w:t>
      </w:r>
      <w:proofErr w:type="spellEnd"/>
      <w:r>
        <w:t xml:space="preserve"> Business Turbo.</w:t>
      </w:r>
      <w:r w:rsidR="00EE5DE1">
        <w:t xml:space="preserve"> </w:t>
      </w:r>
      <w:r>
        <w:t xml:space="preserve"> These services were considered outside the scope of the survey and their rates were excluded from the analysis. </w:t>
      </w:r>
    </w:p>
    <w:p w14:paraId="06C1BDDC" w14:textId="77777777" w:rsidR="008372FF" w:rsidRDefault="008372FF" w:rsidP="00A1665E"/>
    <w:p w14:paraId="519D51B3" w14:textId="77777777" w:rsidR="008372FF" w:rsidRDefault="008372FF" w:rsidP="00A1665E"/>
    <w:p w14:paraId="1B542363" w14:textId="77777777" w:rsidR="00A1665E" w:rsidRDefault="00A1665E" w:rsidP="000A68A2"/>
    <w:sectPr w:rsidR="00A1665E" w:rsidSect="002F29BF">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8D429" w14:textId="77777777" w:rsidR="003F1045" w:rsidRDefault="003F1045" w:rsidP="00863060">
      <w:pPr>
        <w:spacing w:after="0" w:line="240" w:lineRule="auto"/>
      </w:pPr>
      <w:r>
        <w:separator/>
      </w:r>
    </w:p>
  </w:endnote>
  <w:endnote w:type="continuationSeparator" w:id="0">
    <w:p w14:paraId="153608D7" w14:textId="77777777" w:rsidR="003F1045" w:rsidRDefault="003F1045" w:rsidP="0086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469056"/>
      <w:docPartObj>
        <w:docPartGallery w:val="Page Numbers (Bottom of Page)"/>
        <w:docPartUnique/>
      </w:docPartObj>
    </w:sdtPr>
    <w:sdtEndPr>
      <w:rPr>
        <w:noProof/>
      </w:rPr>
    </w:sdtEndPr>
    <w:sdtContent>
      <w:p w14:paraId="7E361133" w14:textId="358D72D6" w:rsidR="002F29BF" w:rsidRDefault="002F29BF">
        <w:pPr>
          <w:pStyle w:val="Footer"/>
          <w:jc w:val="center"/>
        </w:pPr>
        <w:r>
          <w:fldChar w:fldCharType="begin"/>
        </w:r>
        <w:r>
          <w:instrText xml:space="preserve"> PAGE   \* MERGEFORMAT </w:instrText>
        </w:r>
        <w:r>
          <w:fldChar w:fldCharType="separate"/>
        </w:r>
        <w:r w:rsidR="00DF4B60">
          <w:rPr>
            <w:noProof/>
          </w:rPr>
          <w:t>11</w:t>
        </w:r>
        <w:r>
          <w:rPr>
            <w:noProof/>
          </w:rPr>
          <w:fldChar w:fldCharType="end"/>
        </w:r>
      </w:p>
    </w:sdtContent>
  </w:sdt>
  <w:p w14:paraId="1602E271" w14:textId="3871BB95" w:rsidR="00F43C2B" w:rsidRDefault="00F43C2B" w:rsidP="002F2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2D679" w14:textId="77777777" w:rsidR="003F1045" w:rsidRDefault="003F1045" w:rsidP="00863060">
      <w:pPr>
        <w:spacing w:after="0" w:line="240" w:lineRule="auto"/>
      </w:pPr>
      <w:r>
        <w:separator/>
      </w:r>
    </w:p>
  </w:footnote>
  <w:footnote w:type="continuationSeparator" w:id="0">
    <w:p w14:paraId="254D4B22" w14:textId="77777777" w:rsidR="003F1045" w:rsidRDefault="003F1045" w:rsidP="00863060">
      <w:pPr>
        <w:spacing w:after="0" w:line="240" w:lineRule="auto"/>
      </w:pPr>
      <w:r>
        <w:continuationSeparator/>
      </w:r>
    </w:p>
  </w:footnote>
  <w:footnote w:id="1">
    <w:p w14:paraId="53947366" w14:textId="548A3665" w:rsidR="00893453" w:rsidRDefault="00893453" w:rsidP="00893453">
      <w:pPr>
        <w:pStyle w:val="FootnoteText"/>
      </w:pPr>
      <w:r>
        <w:rPr>
          <w:rStyle w:val="FootnoteReference"/>
        </w:rPr>
        <w:footnoteRef/>
      </w:r>
      <w:r>
        <w:t xml:space="preserve"> </w:t>
      </w:r>
      <w:r w:rsidR="00C079AE" w:rsidRPr="00342F34">
        <w:rPr>
          <w:i/>
        </w:rPr>
        <w:t>Connect America Fund</w:t>
      </w:r>
      <w:r w:rsidR="00C079AE">
        <w:t xml:space="preserve">, Order, </w:t>
      </w:r>
      <w:proofErr w:type="gramStart"/>
      <w:r w:rsidR="00C079AE">
        <w:t>28</w:t>
      </w:r>
      <w:proofErr w:type="gramEnd"/>
      <w:r w:rsidR="00C079AE">
        <w:t xml:space="preserve"> FCC </w:t>
      </w:r>
      <w:proofErr w:type="spellStart"/>
      <w:r w:rsidR="00C079AE">
        <w:t>Rcd</w:t>
      </w:r>
      <w:proofErr w:type="spellEnd"/>
      <w:r w:rsidR="00C079AE">
        <w:t xml:space="preserve"> 4242 (2013).</w:t>
      </w:r>
    </w:p>
  </w:footnote>
  <w:footnote w:id="2">
    <w:p w14:paraId="011BFF67" w14:textId="16C43F2F" w:rsidR="00310355" w:rsidRDefault="00310355">
      <w:pPr>
        <w:pStyle w:val="FootnoteText"/>
      </w:pPr>
      <w:r>
        <w:rPr>
          <w:rStyle w:val="FootnoteReference"/>
        </w:rPr>
        <w:footnoteRef/>
      </w:r>
      <w:r>
        <w:t xml:space="preserve"> The </w:t>
      </w:r>
      <w:r w:rsidR="00A53117">
        <w:t xml:space="preserve">frame is the </w:t>
      </w:r>
      <w:r>
        <w:t>set of all sampling units</w:t>
      </w:r>
      <w:r w:rsidRPr="00893453">
        <w:t xml:space="preserve"> from which we selected our sample</w:t>
      </w:r>
      <w:r w:rsidR="00A53117">
        <w:t>.</w:t>
      </w:r>
    </w:p>
  </w:footnote>
  <w:footnote w:id="3">
    <w:p w14:paraId="23695B13" w14:textId="0FDC47A4" w:rsidR="00EB1FE1" w:rsidRDefault="00EB1FE1">
      <w:pPr>
        <w:pStyle w:val="FootnoteText"/>
      </w:pPr>
      <w:r>
        <w:rPr>
          <w:rStyle w:val="FootnoteReference"/>
        </w:rPr>
        <w:footnoteRef/>
      </w:r>
      <w:r>
        <w:t xml:space="preserve"> Such a situation could arise when a provider uses different technologies to provide similar services to customers in different parts of a census tract.</w:t>
      </w:r>
    </w:p>
  </w:footnote>
  <w:footnote w:id="4">
    <w:p w14:paraId="2A21C2C0" w14:textId="77777777" w:rsidR="00FA5754" w:rsidRDefault="00FA5754">
      <w:pPr>
        <w:pStyle w:val="FootnoteText"/>
      </w:pPr>
      <w:r>
        <w:rPr>
          <w:rStyle w:val="FootnoteReference"/>
        </w:rPr>
        <w:footnoteRef/>
      </w:r>
      <w:r>
        <w:t xml:space="preserve"> </w:t>
      </w:r>
      <w:r w:rsidR="005C69AC">
        <w:t>UI = 1 if usage allowance greater than or equal to 350 GB and 0 otherwise</w:t>
      </w:r>
      <w:r>
        <w:t>.</w:t>
      </w:r>
    </w:p>
  </w:footnote>
  <w:footnote w:id="5">
    <w:p w14:paraId="6C38F94B" w14:textId="51F90F5A" w:rsidR="00FA5754" w:rsidRDefault="00FA5754">
      <w:pPr>
        <w:pStyle w:val="FootnoteText"/>
      </w:pPr>
      <w:r>
        <w:rPr>
          <w:rStyle w:val="FootnoteReference"/>
        </w:rPr>
        <w:footnoteRef/>
      </w:r>
      <w:r>
        <w:t xml:space="preserve"> </w:t>
      </w:r>
      <w:r w:rsidR="005C69AC">
        <w:t>A = 0 if usage allowance is greater than or equal to 350 GB and Log</w:t>
      </w:r>
      <w:r w:rsidR="005C69AC" w:rsidRPr="007E2654">
        <w:rPr>
          <w:vertAlign w:val="subscript"/>
        </w:rPr>
        <w:t>10</w:t>
      </w:r>
      <w:r w:rsidR="00427B65">
        <w:t xml:space="preserve"> (</w:t>
      </w:r>
      <w:r w:rsidR="005C69AC">
        <w:t>usage allowance in GB</w:t>
      </w:r>
      <w:r w:rsidR="00427B65">
        <w:t xml:space="preserve">) </w:t>
      </w:r>
      <w:r w:rsidR="005C69AC">
        <w:t>otherwise</w:t>
      </w:r>
      <w:r>
        <w:t>.</w:t>
      </w:r>
    </w:p>
  </w:footnote>
  <w:footnote w:id="6">
    <w:p w14:paraId="60C0AAC4" w14:textId="25B6F391" w:rsidR="005C69AC" w:rsidRDefault="005C69AC" w:rsidP="005C69AC">
      <w:pPr>
        <w:pStyle w:val="CommentText"/>
      </w:pPr>
      <w:r>
        <w:rPr>
          <w:rStyle w:val="FootnoteReference"/>
        </w:rPr>
        <w:footnoteRef/>
      </w:r>
      <w:r>
        <w:t xml:space="preserve"> RWMS</w:t>
      </w:r>
      <w:r w:rsidR="00874F68">
        <w:t>R</w:t>
      </w:r>
      <w:r>
        <w:t xml:space="preserve"> is the square root of the weighted average of the square of</w:t>
      </w:r>
      <w:r w:rsidR="00874F68">
        <w:t xml:space="preserve"> residuals</w:t>
      </w:r>
      <w:r>
        <w:t xml:space="preserve"> </w:t>
      </w:r>
      <w:r w:rsidR="00874F68">
        <w:t>(</w:t>
      </w:r>
      <w:r>
        <w:t xml:space="preserve">observed rate minus average rate as defined by the </w:t>
      </w:r>
      <w:r w:rsidR="00874F68">
        <w:t>A</w:t>
      </w:r>
      <w:r>
        <w:t xml:space="preserve">verage </w:t>
      </w:r>
      <w:r w:rsidR="00874F68">
        <w:t>M</w:t>
      </w:r>
      <w:r>
        <w:t xml:space="preserve">onthly </w:t>
      </w:r>
      <w:r w:rsidR="00874F68">
        <w:t>R</w:t>
      </w:r>
      <w:r>
        <w:t>ate equation</w:t>
      </w:r>
      <w:r w:rsidR="00874F68">
        <w:t>)</w:t>
      </w:r>
      <w:r w:rsidR="00BB5CFD">
        <w:t xml:space="preserve"> plus the squa</w:t>
      </w:r>
      <w:r w:rsidR="00DF4B60">
        <w:t xml:space="preserve">re of the spreads divided by </w:t>
      </w:r>
      <w:r w:rsidR="00DF4B60">
        <w:t>12</w:t>
      </w:r>
      <w:bookmarkStart w:id="0" w:name="_GoBack"/>
      <w:bookmarkEnd w:id="0"/>
      <w:r>
        <w:t>.</w:t>
      </w:r>
    </w:p>
  </w:footnote>
  <w:footnote w:id="7">
    <w:p w14:paraId="5A6414D1" w14:textId="5ACEC749" w:rsidR="002D6425" w:rsidRDefault="002D6425">
      <w:pPr>
        <w:pStyle w:val="FootnoteText"/>
      </w:pPr>
      <w:r>
        <w:rPr>
          <w:rStyle w:val="FootnoteReference"/>
        </w:rPr>
        <w:footnoteRef/>
      </w:r>
      <w:r>
        <w:t xml:space="preserve"> In a bubble chart, the size of the bubble is related to the weight of the observation</w:t>
      </w:r>
      <w:r w:rsidR="003C4B2C">
        <w:t xml:space="preserve">. </w:t>
      </w:r>
      <w:r>
        <w:t xml:space="preserve"> In this case, the weight is the sum of the weights for the rates with that download speed.</w:t>
      </w:r>
    </w:p>
  </w:footnote>
  <w:footnote w:id="8">
    <w:p w14:paraId="517F11E6" w14:textId="1DD0493A" w:rsidR="005C69AC" w:rsidRDefault="005C69AC" w:rsidP="005C69AC">
      <w:pPr>
        <w:pStyle w:val="FootnoteText"/>
      </w:pPr>
      <w:r>
        <w:rPr>
          <w:rStyle w:val="FootnoteReference"/>
        </w:rPr>
        <w:footnoteRef/>
      </w:r>
      <w:r>
        <w:t xml:space="preserve"> The </w:t>
      </w:r>
      <w:r w:rsidR="008F4503">
        <w:t xml:space="preserve">2016 comparability benchmarks in bold and italics are significantly different from the 2015 benchmarks at the </w:t>
      </w:r>
      <w:r w:rsidR="007B2312">
        <w:t>0</w:t>
      </w:r>
      <w:r w:rsidR="008F4503">
        <w:t>.05 level of significance.</w:t>
      </w:r>
    </w:p>
  </w:footnote>
  <w:footnote w:id="9">
    <w:p w14:paraId="12DE8092" w14:textId="77777777" w:rsidR="00C939A0" w:rsidRDefault="00C939A0">
      <w:pPr>
        <w:pStyle w:val="FootnoteText"/>
      </w:pPr>
      <w:r>
        <w:rPr>
          <w:rStyle w:val="FootnoteReference"/>
        </w:rPr>
        <w:footnoteRef/>
      </w:r>
      <w:r>
        <w:t xml:space="preserve"> </w:t>
      </w:r>
      <w:hyperlink r:id="rId1" w:anchor="!plans/cwld" w:history="1">
        <w:r w:rsidRPr="00D54907">
          <w:rPr>
            <w:rStyle w:val="Hyperlink"/>
          </w:rPr>
          <w:t>http://www.bouncelinx.com/#!plans/cwld</w:t>
        </w:r>
      </w:hyperlink>
      <w:r>
        <w:t xml:space="preserve"> </w:t>
      </w:r>
    </w:p>
  </w:footnote>
  <w:footnote w:id="10">
    <w:p w14:paraId="7CF7169C" w14:textId="77777777" w:rsidR="005B601A" w:rsidRDefault="005B601A">
      <w:pPr>
        <w:pStyle w:val="FootnoteText"/>
      </w:pPr>
      <w:r>
        <w:rPr>
          <w:rStyle w:val="FootnoteReference"/>
        </w:rPr>
        <w:footnoteRef/>
      </w:r>
      <w:r>
        <w:t xml:space="preserve"> </w:t>
      </w:r>
      <w:r w:rsidRPr="0003397D">
        <w:rPr>
          <w:i/>
        </w:rPr>
        <w:t>See</w:t>
      </w:r>
      <w:r>
        <w:t xml:space="preserve"> </w:t>
      </w:r>
      <w:hyperlink r:id="rId2" w:history="1">
        <w:r w:rsidRPr="00321657">
          <w:rPr>
            <w:rStyle w:val="Hyperlink"/>
          </w:rPr>
          <w:t>https://www.cybermesa.com/Business.htm</w:t>
        </w:r>
      </w:hyperlink>
      <w:r>
        <w:t xml:space="preserve">. </w:t>
      </w:r>
    </w:p>
  </w:footnote>
  <w:footnote w:id="11">
    <w:p w14:paraId="2E2B5A01" w14:textId="4C7F04E0" w:rsidR="00BB047D" w:rsidRDefault="00BB047D">
      <w:pPr>
        <w:pStyle w:val="FootnoteText"/>
      </w:pPr>
      <w:r>
        <w:rPr>
          <w:rStyle w:val="FootnoteReference"/>
        </w:rPr>
        <w:footnoteRef/>
      </w:r>
      <w:r>
        <w:t xml:space="preserve"> </w:t>
      </w:r>
      <w:r w:rsidR="00C74722" w:rsidRPr="009341C2">
        <w:rPr>
          <w:i/>
        </w:rPr>
        <w:t>See</w:t>
      </w:r>
      <w:r w:rsidR="00C74722">
        <w:t xml:space="preserve"> </w:t>
      </w:r>
      <w:hyperlink r:id="rId3" w:history="1">
        <w:r w:rsidRPr="00321657">
          <w:rPr>
            <w:rStyle w:val="Hyperlink"/>
          </w:rPr>
          <w:t>http://digitalpath.net/business/business_internet.html</w:t>
        </w:r>
      </w:hyperlink>
      <w:r>
        <w:t xml:space="preserve">. </w:t>
      </w:r>
    </w:p>
  </w:footnote>
  <w:footnote w:id="12">
    <w:p w14:paraId="5028B19A" w14:textId="5053EA86" w:rsidR="007A68E7" w:rsidRDefault="007A68E7">
      <w:pPr>
        <w:pStyle w:val="FootnoteText"/>
      </w:pPr>
      <w:r>
        <w:rPr>
          <w:rStyle w:val="FootnoteReference"/>
        </w:rPr>
        <w:footnoteRef/>
      </w:r>
      <w:r>
        <w:t xml:space="preserve"> </w:t>
      </w:r>
      <w:r w:rsidRPr="0027621F">
        <w:t xml:space="preserve"> </w:t>
      </w:r>
      <w:hyperlink r:id="rId4" w:history="1">
        <w:r w:rsidRPr="0027621F">
          <w:rPr>
            <w:rStyle w:val="Hyperlink"/>
            <w:rFonts w:ascii="Calibri" w:eastAsia="Times New Roman" w:hAnsi="Calibri" w:cs="Calibri"/>
          </w:rPr>
          <w:t>http://www.intelliwave.com/?page_id=97</w:t>
        </w:r>
      </w:hyperlink>
      <w:r w:rsidR="00766D55">
        <w:rPr>
          <w:rStyle w:val="Hyperlink"/>
          <w:rFonts w:ascii="Calibri" w:eastAsia="Times New Roman" w:hAnsi="Calibri" w:cs="Calibri"/>
        </w:rPr>
        <w:t>.</w:t>
      </w:r>
    </w:p>
  </w:footnote>
  <w:footnote w:id="13">
    <w:p w14:paraId="44324799" w14:textId="77777777" w:rsidR="001628FF" w:rsidRDefault="001628FF">
      <w:pPr>
        <w:pStyle w:val="FootnoteText"/>
      </w:pPr>
      <w:r>
        <w:rPr>
          <w:rStyle w:val="FootnoteReference"/>
        </w:rPr>
        <w:footnoteRef/>
      </w:r>
      <w:r>
        <w:t xml:space="preserve"> </w:t>
      </w:r>
      <w:hyperlink r:id="rId5" w:history="1">
        <w:r w:rsidRPr="00321657">
          <w:rPr>
            <w:rStyle w:val="Hyperlink"/>
          </w:rPr>
          <w:t>http://www.sectv.com/Web/aspInternetBusiness.aspx?strSystem=LV</w:t>
        </w:r>
      </w:hyperlink>
      <w:r>
        <w:t xml:space="preserve">. </w:t>
      </w:r>
    </w:p>
  </w:footnote>
  <w:footnote w:id="14">
    <w:p w14:paraId="68AAD4FE" w14:textId="77777777" w:rsidR="000C0034" w:rsidRDefault="000C0034">
      <w:pPr>
        <w:pStyle w:val="FootnoteText"/>
      </w:pPr>
      <w:r>
        <w:rPr>
          <w:rStyle w:val="FootnoteReference"/>
        </w:rPr>
        <w:footnoteRef/>
      </w:r>
      <w:r>
        <w:t xml:space="preserve"> </w:t>
      </w:r>
      <w:hyperlink r:id="rId6" w:history="1">
        <w:r w:rsidRPr="00997A24">
          <w:rPr>
            <w:rStyle w:val="Hyperlink"/>
          </w:rPr>
          <w:t>www.vabb.com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236C"/>
    <w:multiLevelType w:val="hybridMultilevel"/>
    <w:tmpl w:val="5F1C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92921"/>
    <w:multiLevelType w:val="hybridMultilevel"/>
    <w:tmpl w:val="1CBA8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21E6B"/>
    <w:multiLevelType w:val="hybridMultilevel"/>
    <w:tmpl w:val="51FA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E3C88"/>
    <w:multiLevelType w:val="hybridMultilevel"/>
    <w:tmpl w:val="F770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D2444"/>
    <w:multiLevelType w:val="hybridMultilevel"/>
    <w:tmpl w:val="E66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4074B"/>
    <w:multiLevelType w:val="hybridMultilevel"/>
    <w:tmpl w:val="6E34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070AFE"/>
    <w:multiLevelType w:val="hybridMultilevel"/>
    <w:tmpl w:val="AD7A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9C4199"/>
    <w:multiLevelType w:val="hybridMultilevel"/>
    <w:tmpl w:val="893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135AE"/>
    <w:multiLevelType w:val="hybridMultilevel"/>
    <w:tmpl w:val="1A50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8"/>
  </w:num>
  <w:num w:numId="5">
    <w:abstractNumId w:val="7"/>
  </w:num>
  <w:num w:numId="6">
    <w:abstractNumId w:val="2"/>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14"/>
    <w:rsid w:val="00011324"/>
    <w:rsid w:val="00011BEE"/>
    <w:rsid w:val="00012757"/>
    <w:rsid w:val="00016BF7"/>
    <w:rsid w:val="000274C3"/>
    <w:rsid w:val="0003397D"/>
    <w:rsid w:val="00033998"/>
    <w:rsid w:val="00037E34"/>
    <w:rsid w:val="000562C7"/>
    <w:rsid w:val="000605F8"/>
    <w:rsid w:val="00066A65"/>
    <w:rsid w:val="000706D3"/>
    <w:rsid w:val="000770C0"/>
    <w:rsid w:val="000827E4"/>
    <w:rsid w:val="0008402D"/>
    <w:rsid w:val="00096657"/>
    <w:rsid w:val="000A10CD"/>
    <w:rsid w:val="000A41A3"/>
    <w:rsid w:val="000A6751"/>
    <w:rsid w:val="000A68A2"/>
    <w:rsid w:val="000B1169"/>
    <w:rsid w:val="000C0034"/>
    <w:rsid w:val="000C1052"/>
    <w:rsid w:val="000C2065"/>
    <w:rsid w:val="000C298D"/>
    <w:rsid w:val="000C4A09"/>
    <w:rsid w:val="000E21A3"/>
    <w:rsid w:val="00106F42"/>
    <w:rsid w:val="00124D3C"/>
    <w:rsid w:val="001263F2"/>
    <w:rsid w:val="00142839"/>
    <w:rsid w:val="00147BBC"/>
    <w:rsid w:val="00153DE8"/>
    <w:rsid w:val="001628FF"/>
    <w:rsid w:val="00162DDC"/>
    <w:rsid w:val="00172603"/>
    <w:rsid w:val="0018649A"/>
    <w:rsid w:val="00195BCD"/>
    <w:rsid w:val="00197B52"/>
    <w:rsid w:val="001A1E81"/>
    <w:rsid w:val="001A5580"/>
    <w:rsid w:val="001B0AD6"/>
    <w:rsid w:val="001B5609"/>
    <w:rsid w:val="001B609C"/>
    <w:rsid w:val="001C2079"/>
    <w:rsid w:val="001D250C"/>
    <w:rsid w:val="001D40A5"/>
    <w:rsid w:val="001D60B2"/>
    <w:rsid w:val="001E54B4"/>
    <w:rsid w:val="001E6012"/>
    <w:rsid w:val="001F4D20"/>
    <w:rsid w:val="00214307"/>
    <w:rsid w:val="0021551C"/>
    <w:rsid w:val="00222453"/>
    <w:rsid w:val="00222DB0"/>
    <w:rsid w:val="00222F3E"/>
    <w:rsid w:val="00224E0D"/>
    <w:rsid w:val="00226B47"/>
    <w:rsid w:val="0023225F"/>
    <w:rsid w:val="00235820"/>
    <w:rsid w:val="002430E6"/>
    <w:rsid w:val="002437BA"/>
    <w:rsid w:val="00245462"/>
    <w:rsid w:val="0025258F"/>
    <w:rsid w:val="002569A5"/>
    <w:rsid w:val="0027621F"/>
    <w:rsid w:val="0028303F"/>
    <w:rsid w:val="002A54A5"/>
    <w:rsid w:val="002C2919"/>
    <w:rsid w:val="002C4DB5"/>
    <w:rsid w:val="002D3468"/>
    <w:rsid w:val="002D4AD7"/>
    <w:rsid w:val="002D6425"/>
    <w:rsid w:val="002E1C90"/>
    <w:rsid w:val="002E26CF"/>
    <w:rsid w:val="002E4DC0"/>
    <w:rsid w:val="002F1E1E"/>
    <w:rsid w:val="002F26F4"/>
    <w:rsid w:val="002F29BF"/>
    <w:rsid w:val="002F5132"/>
    <w:rsid w:val="002F722B"/>
    <w:rsid w:val="00304F2F"/>
    <w:rsid w:val="00310355"/>
    <w:rsid w:val="00310D7F"/>
    <w:rsid w:val="003207BD"/>
    <w:rsid w:val="00321630"/>
    <w:rsid w:val="00324C34"/>
    <w:rsid w:val="00340181"/>
    <w:rsid w:val="00347D1A"/>
    <w:rsid w:val="00350D35"/>
    <w:rsid w:val="00362BB3"/>
    <w:rsid w:val="003668B7"/>
    <w:rsid w:val="00371245"/>
    <w:rsid w:val="00371560"/>
    <w:rsid w:val="0037206B"/>
    <w:rsid w:val="00375103"/>
    <w:rsid w:val="0037580B"/>
    <w:rsid w:val="00375E82"/>
    <w:rsid w:val="003768F8"/>
    <w:rsid w:val="0038217C"/>
    <w:rsid w:val="003844DD"/>
    <w:rsid w:val="00390A87"/>
    <w:rsid w:val="003A42EB"/>
    <w:rsid w:val="003A56DA"/>
    <w:rsid w:val="003A7E04"/>
    <w:rsid w:val="003B172E"/>
    <w:rsid w:val="003B6725"/>
    <w:rsid w:val="003B7E5A"/>
    <w:rsid w:val="003C4B2C"/>
    <w:rsid w:val="003E21A8"/>
    <w:rsid w:val="003E3B8F"/>
    <w:rsid w:val="003F1045"/>
    <w:rsid w:val="003F67F1"/>
    <w:rsid w:val="00400740"/>
    <w:rsid w:val="00400D12"/>
    <w:rsid w:val="00405253"/>
    <w:rsid w:val="004076A7"/>
    <w:rsid w:val="00411720"/>
    <w:rsid w:val="004125C8"/>
    <w:rsid w:val="004160A1"/>
    <w:rsid w:val="00427B65"/>
    <w:rsid w:val="0043161D"/>
    <w:rsid w:val="004379F2"/>
    <w:rsid w:val="00444564"/>
    <w:rsid w:val="00447AA6"/>
    <w:rsid w:val="0045009B"/>
    <w:rsid w:val="00453F54"/>
    <w:rsid w:val="00463893"/>
    <w:rsid w:val="00463BAC"/>
    <w:rsid w:val="0046563B"/>
    <w:rsid w:val="00474B52"/>
    <w:rsid w:val="00477954"/>
    <w:rsid w:val="0048305E"/>
    <w:rsid w:val="004856E8"/>
    <w:rsid w:val="00486DD0"/>
    <w:rsid w:val="00492F53"/>
    <w:rsid w:val="00493FC2"/>
    <w:rsid w:val="004973C8"/>
    <w:rsid w:val="004B08C6"/>
    <w:rsid w:val="004B3335"/>
    <w:rsid w:val="004E1DE6"/>
    <w:rsid w:val="004E2FF8"/>
    <w:rsid w:val="005144C3"/>
    <w:rsid w:val="00520192"/>
    <w:rsid w:val="005423F5"/>
    <w:rsid w:val="005459D5"/>
    <w:rsid w:val="005518E5"/>
    <w:rsid w:val="0055548C"/>
    <w:rsid w:val="00573DE2"/>
    <w:rsid w:val="00574074"/>
    <w:rsid w:val="00574EA8"/>
    <w:rsid w:val="00575E83"/>
    <w:rsid w:val="0058576A"/>
    <w:rsid w:val="005958A1"/>
    <w:rsid w:val="005B135A"/>
    <w:rsid w:val="005B239B"/>
    <w:rsid w:val="005B5F78"/>
    <w:rsid w:val="005B601A"/>
    <w:rsid w:val="005C69AC"/>
    <w:rsid w:val="005D3F41"/>
    <w:rsid w:val="005D7563"/>
    <w:rsid w:val="005E256E"/>
    <w:rsid w:val="005E5CBE"/>
    <w:rsid w:val="005E6427"/>
    <w:rsid w:val="005F56D0"/>
    <w:rsid w:val="0060162D"/>
    <w:rsid w:val="00604EBA"/>
    <w:rsid w:val="0060558E"/>
    <w:rsid w:val="006065CF"/>
    <w:rsid w:val="00607B6A"/>
    <w:rsid w:val="00610050"/>
    <w:rsid w:val="00610B66"/>
    <w:rsid w:val="00612185"/>
    <w:rsid w:val="006209A2"/>
    <w:rsid w:val="00623D05"/>
    <w:rsid w:val="0062510F"/>
    <w:rsid w:val="00633DE1"/>
    <w:rsid w:val="00634F36"/>
    <w:rsid w:val="00640EE4"/>
    <w:rsid w:val="006425C2"/>
    <w:rsid w:val="00657184"/>
    <w:rsid w:val="00657C1B"/>
    <w:rsid w:val="006603F4"/>
    <w:rsid w:val="00665847"/>
    <w:rsid w:val="00670074"/>
    <w:rsid w:val="00673DEE"/>
    <w:rsid w:val="0067686B"/>
    <w:rsid w:val="00676FF0"/>
    <w:rsid w:val="00681F52"/>
    <w:rsid w:val="00682835"/>
    <w:rsid w:val="00683E9B"/>
    <w:rsid w:val="00694E9F"/>
    <w:rsid w:val="00695DC9"/>
    <w:rsid w:val="00696D67"/>
    <w:rsid w:val="006A6239"/>
    <w:rsid w:val="006B5E10"/>
    <w:rsid w:val="006B7B2F"/>
    <w:rsid w:val="006C11CA"/>
    <w:rsid w:val="006D0944"/>
    <w:rsid w:val="006F3030"/>
    <w:rsid w:val="006F5C23"/>
    <w:rsid w:val="006F76E8"/>
    <w:rsid w:val="007120BB"/>
    <w:rsid w:val="0071365F"/>
    <w:rsid w:val="00722E30"/>
    <w:rsid w:val="00724322"/>
    <w:rsid w:val="00726299"/>
    <w:rsid w:val="00736941"/>
    <w:rsid w:val="00752DFD"/>
    <w:rsid w:val="0075503F"/>
    <w:rsid w:val="007664FD"/>
    <w:rsid w:val="00766D55"/>
    <w:rsid w:val="00774317"/>
    <w:rsid w:val="007871CE"/>
    <w:rsid w:val="007943EE"/>
    <w:rsid w:val="007966FF"/>
    <w:rsid w:val="007A5674"/>
    <w:rsid w:val="007A68E7"/>
    <w:rsid w:val="007B0A30"/>
    <w:rsid w:val="007B0C61"/>
    <w:rsid w:val="007B0D19"/>
    <w:rsid w:val="007B2312"/>
    <w:rsid w:val="007B3DF2"/>
    <w:rsid w:val="007B3F15"/>
    <w:rsid w:val="007B5E2D"/>
    <w:rsid w:val="007B5F0A"/>
    <w:rsid w:val="007E6203"/>
    <w:rsid w:val="007F2462"/>
    <w:rsid w:val="00801898"/>
    <w:rsid w:val="008058D4"/>
    <w:rsid w:val="008108C0"/>
    <w:rsid w:val="00813BFA"/>
    <w:rsid w:val="00814606"/>
    <w:rsid w:val="00814F97"/>
    <w:rsid w:val="00816280"/>
    <w:rsid w:val="008164A4"/>
    <w:rsid w:val="00821E26"/>
    <w:rsid w:val="008230D2"/>
    <w:rsid w:val="008249F8"/>
    <w:rsid w:val="008319DD"/>
    <w:rsid w:val="0083206C"/>
    <w:rsid w:val="00835E66"/>
    <w:rsid w:val="008372FF"/>
    <w:rsid w:val="00837F73"/>
    <w:rsid w:val="00847396"/>
    <w:rsid w:val="00856132"/>
    <w:rsid w:val="00863060"/>
    <w:rsid w:val="0086347C"/>
    <w:rsid w:val="008673EF"/>
    <w:rsid w:val="008679B3"/>
    <w:rsid w:val="00874CC8"/>
    <w:rsid w:val="00874F68"/>
    <w:rsid w:val="0088772E"/>
    <w:rsid w:val="00891CD0"/>
    <w:rsid w:val="00893453"/>
    <w:rsid w:val="008A1981"/>
    <w:rsid w:val="008A2D80"/>
    <w:rsid w:val="008A404D"/>
    <w:rsid w:val="008A54BB"/>
    <w:rsid w:val="008B506C"/>
    <w:rsid w:val="008B6C48"/>
    <w:rsid w:val="008C0AEB"/>
    <w:rsid w:val="008C0DE1"/>
    <w:rsid w:val="008C223A"/>
    <w:rsid w:val="008C29E7"/>
    <w:rsid w:val="008D5373"/>
    <w:rsid w:val="008D6D68"/>
    <w:rsid w:val="008E0458"/>
    <w:rsid w:val="008E051D"/>
    <w:rsid w:val="008E238A"/>
    <w:rsid w:val="008E5332"/>
    <w:rsid w:val="008F4126"/>
    <w:rsid w:val="008F4503"/>
    <w:rsid w:val="0090298C"/>
    <w:rsid w:val="00904531"/>
    <w:rsid w:val="009074C6"/>
    <w:rsid w:val="009107EC"/>
    <w:rsid w:val="00920F0A"/>
    <w:rsid w:val="009227E6"/>
    <w:rsid w:val="009313C5"/>
    <w:rsid w:val="00935BB9"/>
    <w:rsid w:val="009375D9"/>
    <w:rsid w:val="00957CBA"/>
    <w:rsid w:val="0098227B"/>
    <w:rsid w:val="009A5A0E"/>
    <w:rsid w:val="009B13AD"/>
    <w:rsid w:val="009B60F0"/>
    <w:rsid w:val="009C111C"/>
    <w:rsid w:val="009D14F1"/>
    <w:rsid w:val="009D3AFB"/>
    <w:rsid w:val="00A00A9E"/>
    <w:rsid w:val="00A100BE"/>
    <w:rsid w:val="00A120C7"/>
    <w:rsid w:val="00A13F16"/>
    <w:rsid w:val="00A1665E"/>
    <w:rsid w:val="00A17B0A"/>
    <w:rsid w:val="00A225DA"/>
    <w:rsid w:val="00A229EB"/>
    <w:rsid w:val="00A2369C"/>
    <w:rsid w:val="00A27A2C"/>
    <w:rsid w:val="00A3370B"/>
    <w:rsid w:val="00A407DC"/>
    <w:rsid w:val="00A4154B"/>
    <w:rsid w:val="00A44AB0"/>
    <w:rsid w:val="00A505F8"/>
    <w:rsid w:val="00A53117"/>
    <w:rsid w:val="00A55C8D"/>
    <w:rsid w:val="00A56B64"/>
    <w:rsid w:val="00A56CDB"/>
    <w:rsid w:val="00A60A8B"/>
    <w:rsid w:val="00A61E00"/>
    <w:rsid w:val="00A625CD"/>
    <w:rsid w:val="00A62F7F"/>
    <w:rsid w:val="00A64646"/>
    <w:rsid w:val="00A657EA"/>
    <w:rsid w:val="00A66C87"/>
    <w:rsid w:val="00A743CE"/>
    <w:rsid w:val="00A745B5"/>
    <w:rsid w:val="00A82091"/>
    <w:rsid w:val="00A90297"/>
    <w:rsid w:val="00AA052A"/>
    <w:rsid w:val="00AA3138"/>
    <w:rsid w:val="00AA4A6C"/>
    <w:rsid w:val="00AA6B9F"/>
    <w:rsid w:val="00AB4ECD"/>
    <w:rsid w:val="00AB6D32"/>
    <w:rsid w:val="00AB704A"/>
    <w:rsid w:val="00AC0E13"/>
    <w:rsid w:val="00AC2267"/>
    <w:rsid w:val="00AC3147"/>
    <w:rsid w:val="00AD389E"/>
    <w:rsid w:val="00AE60FB"/>
    <w:rsid w:val="00AF2DC0"/>
    <w:rsid w:val="00AF6533"/>
    <w:rsid w:val="00AF6E7E"/>
    <w:rsid w:val="00AF7FE9"/>
    <w:rsid w:val="00B00267"/>
    <w:rsid w:val="00B004B2"/>
    <w:rsid w:val="00B021FC"/>
    <w:rsid w:val="00B05025"/>
    <w:rsid w:val="00B110D0"/>
    <w:rsid w:val="00B24008"/>
    <w:rsid w:val="00B2529F"/>
    <w:rsid w:val="00B33F25"/>
    <w:rsid w:val="00B46BF5"/>
    <w:rsid w:val="00B4779A"/>
    <w:rsid w:val="00B53BBB"/>
    <w:rsid w:val="00B54BBA"/>
    <w:rsid w:val="00B6066A"/>
    <w:rsid w:val="00B673ED"/>
    <w:rsid w:val="00B7044E"/>
    <w:rsid w:val="00B71BCA"/>
    <w:rsid w:val="00B7276B"/>
    <w:rsid w:val="00B7404A"/>
    <w:rsid w:val="00BA3DDD"/>
    <w:rsid w:val="00BA4544"/>
    <w:rsid w:val="00BA4D7F"/>
    <w:rsid w:val="00BA58D8"/>
    <w:rsid w:val="00BA7972"/>
    <w:rsid w:val="00BB047D"/>
    <w:rsid w:val="00BB1E99"/>
    <w:rsid w:val="00BB55C4"/>
    <w:rsid w:val="00BB5CFD"/>
    <w:rsid w:val="00BB7DA1"/>
    <w:rsid w:val="00BC4F3C"/>
    <w:rsid w:val="00BD0BD1"/>
    <w:rsid w:val="00BE466D"/>
    <w:rsid w:val="00BE73CD"/>
    <w:rsid w:val="00BE748C"/>
    <w:rsid w:val="00C0214D"/>
    <w:rsid w:val="00C079AE"/>
    <w:rsid w:val="00C154B6"/>
    <w:rsid w:val="00C2654F"/>
    <w:rsid w:val="00C2676D"/>
    <w:rsid w:val="00C27D6F"/>
    <w:rsid w:val="00C50216"/>
    <w:rsid w:val="00C61720"/>
    <w:rsid w:val="00C61982"/>
    <w:rsid w:val="00C64FA1"/>
    <w:rsid w:val="00C74722"/>
    <w:rsid w:val="00C75012"/>
    <w:rsid w:val="00C77ECD"/>
    <w:rsid w:val="00C81E1B"/>
    <w:rsid w:val="00C82668"/>
    <w:rsid w:val="00C844DF"/>
    <w:rsid w:val="00C84DD4"/>
    <w:rsid w:val="00C86314"/>
    <w:rsid w:val="00C879E8"/>
    <w:rsid w:val="00C9148A"/>
    <w:rsid w:val="00C939A0"/>
    <w:rsid w:val="00C97754"/>
    <w:rsid w:val="00CA4820"/>
    <w:rsid w:val="00CB56DF"/>
    <w:rsid w:val="00CC084C"/>
    <w:rsid w:val="00CC6159"/>
    <w:rsid w:val="00CD1B0F"/>
    <w:rsid w:val="00CD334A"/>
    <w:rsid w:val="00CD4B95"/>
    <w:rsid w:val="00CD55CA"/>
    <w:rsid w:val="00CD5B83"/>
    <w:rsid w:val="00CD7C11"/>
    <w:rsid w:val="00CE0393"/>
    <w:rsid w:val="00CE1680"/>
    <w:rsid w:val="00CE3A0D"/>
    <w:rsid w:val="00CF2034"/>
    <w:rsid w:val="00CF7646"/>
    <w:rsid w:val="00D10016"/>
    <w:rsid w:val="00D10C2E"/>
    <w:rsid w:val="00D11C9E"/>
    <w:rsid w:val="00D15918"/>
    <w:rsid w:val="00D167DC"/>
    <w:rsid w:val="00D24068"/>
    <w:rsid w:val="00D25A2D"/>
    <w:rsid w:val="00D3003C"/>
    <w:rsid w:val="00D30577"/>
    <w:rsid w:val="00D31530"/>
    <w:rsid w:val="00D321C0"/>
    <w:rsid w:val="00D33C7A"/>
    <w:rsid w:val="00D35596"/>
    <w:rsid w:val="00D43920"/>
    <w:rsid w:val="00D43ABD"/>
    <w:rsid w:val="00D44826"/>
    <w:rsid w:val="00D44A3B"/>
    <w:rsid w:val="00D45195"/>
    <w:rsid w:val="00D62A2E"/>
    <w:rsid w:val="00D64E75"/>
    <w:rsid w:val="00D668DF"/>
    <w:rsid w:val="00D679CD"/>
    <w:rsid w:val="00D70AFD"/>
    <w:rsid w:val="00D74130"/>
    <w:rsid w:val="00D749CD"/>
    <w:rsid w:val="00D76D77"/>
    <w:rsid w:val="00D819EF"/>
    <w:rsid w:val="00D81F9C"/>
    <w:rsid w:val="00D96466"/>
    <w:rsid w:val="00DA0325"/>
    <w:rsid w:val="00DA7704"/>
    <w:rsid w:val="00DB1A98"/>
    <w:rsid w:val="00DB2A26"/>
    <w:rsid w:val="00DB5215"/>
    <w:rsid w:val="00DB6FB3"/>
    <w:rsid w:val="00DB7EBF"/>
    <w:rsid w:val="00DC5F72"/>
    <w:rsid w:val="00DD21E5"/>
    <w:rsid w:val="00DD2625"/>
    <w:rsid w:val="00DD5215"/>
    <w:rsid w:val="00DD6C74"/>
    <w:rsid w:val="00DE102F"/>
    <w:rsid w:val="00DF39F3"/>
    <w:rsid w:val="00DF41D3"/>
    <w:rsid w:val="00DF4B60"/>
    <w:rsid w:val="00E0007E"/>
    <w:rsid w:val="00E05236"/>
    <w:rsid w:val="00E16530"/>
    <w:rsid w:val="00E17198"/>
    <w:rsid w:val="00E25B94"/>
    <w:rsid w:val="00E300E9"/>
    <w:rsid w:val="00E34048"/>
    <w:rsid w:val="00E361BF"/>
    <w:rsid w:val="00E455A5"/>
    <w:rsid w:val="00E47FF1"/>
    <w:rsid w:val="00E541F7"/>
    <w:rsid w:val="00E71A44"/>
    <w:rsid w:val="00E71B00"/>
    <w:rsid w:val="00E846B5"/>
    <w:rsid w:val="00E96170"/>
    <w:rsid w:val="00E96EDB"/>
    <w:rsid w:val="00EA32EE"/>
    <w:rsid w:val="00EA35E1"/>
    <w:rsid w:val="00EA6DCA"/>
    <w:rsid w:val="00EB1FE1"/>
    <w:rsid w:val="00EB56E1"/>
    <w:rsid w:val="00EC12D1"/>
    <w:rsid w:val="00EC497B"/>
    <w:rsid w:val="00ED7D2D"/>
    <w:rsid w:val="00EE089D"/>
    <w:rsid w:val="00EE23FA"/>
    <w:rsid w:val="00EE5DE1"/>
    <w:rsid w:val="00EF0405"/>
    <w:rsid w:val="00EF48CC"/>
    <w:rsid w:val="00EF6952"/>
    <w:rsid w:val="00F24713"/>
    <w:rsid w:val="00F258F6"/>
    <w:rsid w:val="00F278AF"/>
    <w:rsid w:val="00F365ED"/>
    <w:rsid w:val="00F40260"/>
    <w:rsid w:val="00F41595"/>
    <w:rsid w:val="00F43C2B"/>
    <w:rsid w:val="00F43E02"/>
    <w:rsid w:val="00F459D7"/>
    <w:rsid w:val="00F46411"/>
    <w:rsid w:val="00F50FB7"/>
    <w:rsid w:val="00F53B66"/>
    <w:rsid w:val="00F55D23"/>
    <w:rsid w:val="00F60C32"/>
    <w:rsid w:val="00F701F9"/>
    <w:rsid w:val="00F77742"/>
    <w:rsid w:val="00F81010"/>
    <w:rsid w:val="00F81851"/>
    <w:rsid w:val="00F85581"/>
    <w:rsid w:val="00F874B3"/>
    <w:rsid w:val="00F9152D"/>
    <w:rsid w:val="00F93BDA"/>
    <w:rsid w:val="00FA5754"/>
    <w:rsid w:val="00FB08E4"/>
    <w:rsid w:val="00FB216A"/>
    <w:rsid w:val="00FB23F9"/>
    <w:rsid w:val="00FB4077"/>
    <w:rsid w:val="00FB6FB7"/>
    <w:rsid w:val="00FC2114"/>
    <w:rsid w:val="00FC35DA"/>
    <w:rsid w:val="00FC4EC1"/>
    <w:rsid w:val="00FC7998"/>
    <w:rsid w:val="00FD5FDC"/>
    <w:rsid w:val="00FE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4189"/>
  <w15:docId w15:val="{72318291-976B-4E66-AE0D-FC5925C0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630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3060"/>
    <w:rPr>
      <w:sz w:val="20"/>
      <w:szCs w:val="20"/>
    </w:rPr>
  </w:style>
  <w:style w:type="character" w:styleId="EndnoteReference">
    <w:name w:val="endnote reference"/>
    <w:basedOn w:val="DefaultParagraphFont"/>
    <w:uiPriority w:val="99"/>
    <w:semiHidden/>
    <w:unhideWhenUsed/>
    <w:rsid w:val="00863060"/>
    <w:rPr>
      <w:vertAlign w:val="superscript"/>
    </w:rPr>
  </w:style>
  <w:style w:type="paragraph" w:styleId="BalloonText">
    <w:name w:val="Balloon Text"/>
    <w:basedOn w:val="Normal"/>
    <w:link w:val="BalloonTextChar"/>
    <w:uiPriority w:val="99"/>
    <w:semiHidden/>
    <w:unhideWhenUsed/>
    <w:rsid w:val="00FC4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EC1"/>
    <w:rPr>
      <w:rFonts w:ascii="Tahoma" w:hAnsi="Tahoma" w:cs="Tahoma"/>
      <w:sz w:val="16"/>
      <w:szCs w:val="16"/>
    </w:rPr>
  </w:style>
  <w:style w:type="paragraph" w:styleId="ListParagraph">
    <w:name w:val="List Paragraph"/>
    <w:basedOn w:val="Normal"/>
    <w:uiPriority w:val="34"/>
    <w:qFormat/>
    <w:rsid w:val="00F701F9"/>
    <w:pPr>
      <w:ind w:left="720"/>
      <w:contextualSpacing/>
    </w:pPr>
  </w:style>
  <w:style w:type="paragraph" w:styleId="Header">
    <w:name w:val="header"/>
    <w:basedOn w:val="Normal"/>
    <w:link w:val="HeaderChar"/>
    <w:uiPriority w:val="99"/>
    <w:unhideWhenUsed/>
    <w:rsid w:val="00F43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C2B"/>
  </w:style>
  <w:style w:type="paragraph" w:styleId="Footer">
    <w:name w:val="footer"/>
    <w:basedOn w:val="Normal"/>
    <w:link w:val="FooterChar"/>
    <w:uiPriority w:val="99"/>
    <w:unhideWhenUsed/>
    <w:rsid w:val="00F43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C2B"/>
  </w:style>
  <w:style w:type="character" w:customStyle="1" w:styleId="MathematicaFormatStandardForm">
    <w:name w:val="MathematicaFormatStandardForm"/>
    <w:uiPriority w:val="99"/>
    <w:rsid w:val="004076A7"/>
    <w:rPr>
      <w:rFonts w:ascii="Courier" w:hAnsi="Courier" w:cs="Courier"/>
    </w:rPr>
  </w:style>
  <w:style w:type="paragraph" w:styleId="FootnoteText">
    <w:name w:val="footnote text"/>
    <w:basedOn w:val="Normal"/>
    <w:link w:val="FootnoteTextChar"/>
    <w:uiPriority w:val="99"/>
    <w:semiHidden/>
    <w:unhideWhenUsed/>
    <w:rsid w:val="007550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03F"/>
    <w:rPr>
      <w:sz w:val="20"/>
      <w:szCs w:val="20"/>
    </w:rPr>
  </w:style>
  <w:style w:type="character" w:styleId="FootnoteReference">
    <w:name w:val="footnote reference"/>
    <w:basedOn w:val="DefaultParagraphFont"/>
    <w:uiPriority w:val="99"/>
    <w:semiHidden/>
    <w:unhideWhenUsed/>
    <w:rsid w:val="0075503F"/>
    <w:rPr>
      <w:vertAlign w:val="superscript"/>
    </w:rPr>
  </w:style>
  <w:style w:type="table" w:styleId="TableGrid">
    <w:name w:val="Table Grid"/>
    <w:basedOn w:val="TableNormal"/>
    <w:uiPriority w:val="59"/>
    <w:rsid w:val="0083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6D77"/>
    <w:rPr>
      <w:color w:val="0000FF"/>
      <w:u w:val="single"/>
    </w:rPr>
  </w:style>
  <w:style w:type="character" w:styleId="FollowedHyperlink">
    <w:name w:val="FollowedHyperlink"/>
    <w:basedOn w:val="DefaultParagraphFont"/>
    <w:uiPriority w:val="99"/>
    <w:semiHidden/>
    <w:unhideWhenUsed/>
    <w:rsid w:val="00D76D77"/>
    <w:rPr>
      <w:color w:val="800080" w:themeColor="followedHyperlink"/>
      <w:u w:val="single"/>
    </w:rPr>
  </w:style>
  <w:style w:type="paragraph" w:styleId="CommentText">
    <w:name w:val="annotation text"/>
    <w:basedOn w:val="Normal"/>
    <w:link w:val="CommentTextChar"/>
    <w:uiPriority w:val="99"/>
    <w:unhideWhenUsed/>
    <w:rsid w:val="005C69AC"/>
    <w:pPr>
      <w:spacing w:line="240" w:lineRule="auto"/>
    </w:pPr>
    <w:rPr>
      <w:sz w:val="20"/>
      <w:szCs w:val="20"/>
    </w:rPr>
  </w:style>
  <w:style w:type="character" w:customStyle="1" w:styleId="CommentTextChar">
    <w:name w:val="Comment Text Char"/>
    <w:basedOn w:val="DefaultParagraphFont"/>
    <w:link w:val="CommentText"/>
    <w:uiPriority w:val="99"/>
    <w:rsid w:val="005C69AC"/>
    <w:rPr>
      <w:sz w:val="20"/>
      <w:szCs w:val="20"/>
    </w:rPr>
  </w:style>
  <w:style w:type="character" w:styleId="CommentReference">
    <w:name w:val="annotation reference"/>
    <w:basedOn w:val="DefaultParagraphFont"/>
    <w:uiPriority w:val="99"/>
    <w:semiHidden/>
    <w:unhideWhenUsed/>
    <w:rsid w:val="00874F68"/>
    <w:rPr>
      <w:sz w:val="16"/>
      <w:szCs w:val="16"/>
    </w:rPr>
  </w:style>
  <w:style w:type="paragraph" w:styleId="CommentSubject">
    <w:name w:val="annotation subject"/>
    <w:basedOn w:val="CommentText"/>
    <w:next w:val="CommentText"/>
    <w:link w:val="CommentSubjectChar"/>
    <w:uiPriority w:val="99"/>
    <w:semiHidden/>
    <w:unhideWhenUsed/>
    <w:rsid w:val="00874F68"/>
    <w:rPr>
      <w:b/>
      <w:bCs/>
    </w:rPr>
  </w:style>
  <w:style w:type="character" w:customStyle="1" w:styleId="CommentSubjectChar">
    <w:name w:val="Comment Subject Char"/>
    <w:basedOn w:val="CommentTextChar"/>
    <w:link w:val="CommentSubject"/>
    <w:uiPriority w:val="99"/>
    <w:semiHidden/>
    <w:rsid w:val="00874F68"/>
    <w:rPr>
      <w:b/>
      <w:bCs/>
      <w:sz w:val="20"/>
      <w:szCs w:val="20"/>
    </w:rPr>
  </w:style>
  <w:style w:type="paragraph" w:styleId="Revision">
    <w:name w:val="Revision"/>
    <w:hidden/>
    <w:uiPriority w:val="99"/>
    <w:semiHidden/>
    <w:rsid w:val="00874F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830350">
      <w:bodyDiv w:val="1"/>
      <w:marLeft w:val="0"/>
      <w:marRight w:val="0"/>
      <w:marTop w:val="0"/>
      <w:marBottom w:val="0"/>
      <w:divBdr>
        <w:top w:val="none" w:sz="0" w:space="0" w:color="auto"/>
        <w:left w:val="none" w:sz="0" w:space="0" w:color="auto"/>
        <w:bottom w:val="none" w:sz="0" w:space="0" w:color="auto"/>
        <w:right w:val="none" w:sz="0" w:space="0" w:color="auto"/>
      </w:divBdr>
    </w:div>
    <w:div w:id="818108682">
      <w:bodyDiv w:val="1"/>
      <w:marLeft w:val="0"/>
      <w:marRight w:val="0"/>
      <w:marTop w:val="0"/>
      <w:marBottom w:val="0"/>
      <w:divBdr>
        <w:top w:val="none" w:sz="0" w:space="0" w:color="auto"/>
        <w:left w:val="none" w:sz="0" w:space="0" w:color="auto"/>
        <w:bottom w:val="none" w:sz="0" w:space="0" w:color="auto"/>
        <w:right w:val="none" w:sz="0" w:space="0" w:color="auto"/>
      </w:divBdr>
    </w:div>
    <w:div w:id="8467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digitalpath.net/business/business_internet.html" TargetMode="External"/><Relationship Id="rId2" Type="http://schemas.openxmlformats.org/officeDocument/2006/relationships/hyperlink" Target="https://www.cybermesa.com/Business.htm" TargetMode="External"/><Relationship Id="rId1" Type="http://schemas.openxmlformats.org/officeDocument/2006/relationships/hyperlink" Target="http://www.bouncelinx.com/" TargetMode="External"/><Relationship Id="rId6" Type="http://schemas.openxmlformats.org/officeDocument/2006/relationships/hyperlink" Target="http://www.vabb.com" TargetMode="External"/><Relationship Id="rId5" Type="http://schemas.openxmlformats.org/officeDocument/2006/relationships/hyperlink" Target="http://www.sectv.com/Web/aspInternetBusiness.aspx?strSystem=LV" TargetMode="External"/><Relationship Id="rId4" Type="http://schemas.openxmlformats.org/officeDocument/2006/relationships/hyperlink" Target="http://www.intelliwave.com/?page_id=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226D4-89FF-4321-B6EA-BC88B2F2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Bennett</dc:creator>
  <cp:lastModifiedBy>Chelsea Fallon</cp:lastModifiedBy>
  <cp:revision>3</cp:revision>
  <cp:lastPrinted>2016-02-17T16:48:00Z</cp:lastPrinted>
  <dcterms:created xsi:type="dcterms:W3CDTF">2016-04-05T21:14:00Z</dcterms:created>
  <dcterms:modified xsi:type="dcterms:W3CDTF">2016-04-05T21:14:00Z</dcterms:modified>
</cp:coreProperties>
</file>