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0" w:type="dxa"/>
        <w:tblInd w:w="-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1557"/>
        <w:gridCol w:w="4923"/>
        <w:gridCol w:w="2211"/>
        <w:gridCol w:w="1669"/>
      </w:tblGrid>
      <w:tr w:rsidR="00DF6653" w:rsidRPr="009B3A2A" w14:paraId="5654DF36" w14:textId="77777777" w:rsidTr="00BB75F2">
        <w:trPr>
          <w:trHeight w:val="621"/>
        </w:trPr>
        <w:tc>
          <w:tcPr>
            <w:tcW w:w="6570" w:type="dxa"/>
            <w:gridSpan w:val="3"/>
          </w:tcPr>
          <w:p w14:paraId="5F023ABD" w14:textId="77777777" w:rsidR="00602931" w:rsidRPr="00787930" w:rsidRDefault="00602931" w:rsidP="006029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44 </w:t>
            </w:r>
            <w:r w:rsidRPr="00787930">
              <w:rPr>
                <w:b/>
                <w:sz w:val="22"/>
                <w:szCs w:val="22"/>
              </w:rPr>
              <w:t>MEETING OF PERMANENT</w:t>
            </w:r>
          </w:p>
          <w:p w14:paraId="739454FA" w14:textId="77777777" w:rsidR="00602931" w:rsidRPr="00787930" w:rsidRDefault="00602931" w:rsidP="00602931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1C8CDF60" w14:textId="77777777" w:rsidR="00602931" w:rsidRPr="00092B9A" w:rsidRDefault="00602931" w:rsidP="00602931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63623692" w14:textId="77777777" w:rsidR="00602931" w:rsidRPr="00787930" w:rsidRDefault="00602931" w:rsidP="006029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September 23 to 27, </w:t>
            </w:r>
            <w:r w:rsidRPr="0078793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  <w:p w14:paraId="04307E7E" w14:textId="49D470EE" w:rsidR="00DF6653" w:rsidRPr="00F825EB" w:rsidRDefault="00602931" w:rsidP="00602931">
            <w:pPr>
              <w:rPr>
                <w:b/>
                <w:iCs/>
                <w:sz w:val="22"/>
                <w:szCs w:val="22"/>
              </w:rPr>
            </w:pPr>
            <w:r w:rsidRPr="00E750BB">
              <w:rPr>
                <w:b/>
                <w:color w:val="000000" w:themeColor="text1"/>
                <w:sz w:val="22"/>
                <w:szCs w:val="22"/>
              </w:rPr>
              <w:t>Merida</w:t>
            </w:r>
            <w:r w:rsidRPr="00F825EB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Mexico</w:t>
            </w:r>
          </w:p>
        </w:tc>
        <w:tc>
          <w:tcPr>
            <w:tcW w:w="3880" w:type="dxa"/>
            <w:gridSpan w:val="2"/>
          </w:tcPr>
          <w:p w14:paraId="259B71E9" w14:textId="45367881" w:rsidR="006D29DC" w:rsidRPr="006E1144" w:rsidRDefault="006D29DC" w:rsidP="006D29DC">
            <w:pPr>
              <w:rPr>
                <w:b/>
                <w:sz w:val="22"/>
                <w:szCs w:val="22"/>
                <w:lang w:val="pt-BR"/>
              </w:rPr>
            </w:pPr>
            <w:r w:rsidRPr="00C53AA3">
              <w:rPr>
                <w:b/>
                <w:sz w:val="22"/>
                <w:szCs w:val="22"/>
              </w:rPr>
              <w:t xml:space="preserve">CITEL/GT/CMR-27/doc. </w:t>
            </w:r>
            <w:r>
              <w:rPr>
                <w:b/>
                <w:sz w:val="22"/>
                <w:szCs w:val="22"/>
                <w:highlight w:val="yellow"/>
              </w:rPr>
              <w:fldChar w:fldCharType="begin"/>
            </w:r>
            <w:r>
              <w:rPr>
                <w:b/>
                <w:sz w:val="22"/>
                <w:szCs w:val="22"/>
                <w:highlight w:val="yellow"/>
              </w:rPr>
              <w:instrText xml:space="preserve"> MACROBUTTON  AddFromFile "[Doc. No.]" </w:instrText>
            </w:r>
            <w:r>
              <w:rPr>
                <w:b/>
                <w:sz w:val="22"/>
                <w:szCs w:val="22"/>
                <w:highlight w:val="yellow"/>
              </w:rPr>
              <w:fldChar w:fldCharType="end"/>
            </w:r>
            <w:r w:rsidRPr="009209DD">
              <w:rPr>
                <w:b/>
                <w:snapToGrid w:val="0"/>
                <w:sz w:val="22"/>
                <w:szCs w:val="22"/>
                <w:lang w:val="pt-BR"/>
              </w:rPr>
              <w:t>/</w:t>
            </w:r>
            <w:r w:rsidRPr="006E1144">
              <w:rPr>
                <w:b/>
                <w:snapToGrid w:val="0"/>
                <w:sz w:val="22"/>
                <w:szCs w:val="22"/>
                <w:lang w:val="pt-BR"/>
              </w:rPr>
              <w:t>2</w:t>
            </w:r>
            <w:r w:rsidR="002F7DBB">
              <w:rPr>
                <w:b/>
                <w:snapToGrid w:val="0"/>
                <w:sz w:val="22"/>
                <w:szCs w:val="22"/>
                <w:lang w:val="pt-BR"/>
              </w:rPr>
              <w:t>4</w:t>
            </w:r>
          </w:p>
          <w:p w14:paraId="1EB1E542" w14:textId="3598AC63" w:rsidR="006D29DC" w:rsidRDefault="006D29DC" w:rsidP="00757F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DATE \@ "MMMM d, yyyy"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8646F6">
              <w:rPr>
                <w:b/>
                <w:noProof/>
                <w:sz w:val="22"/>
                <w:szCs w:val="22"/>
              </w:rPr>
              <w:t>August 30, 2024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35D56372" w14:textId="61AED1F0" w:rsidR="00DF6653" w:rsidRPr="008264D0" w:rsidRDefault="00757F6D" w:rsidP="00757F6D">
            <w:pPr>
              <w:rPr>
                <w:b/>
                <w:sz w:val="22"/>
                <w:szCs w:val="22"/>
              </w:rPr>
            </w:pPr>
            <w:r w:rsidRPr="002B4C07">
              <w:rPr>
                <w:b/>
                <w:sz w:val="22"/>
                <w:szCs w:val="22"/>
              </w:rPr>
              <w:t xml:space="preserve">Original: </w:t>
            </w:r>
            <w:r w:rsidR="00A91BE9">
              <w:rPr>
                <w:b/>
                <w:sz w:val="22"/>
                <w:szCs w:val="22"/>
              </w:rPr>
              <w:t>English</w:t>
            </w:r>
          </w:p>
        </w:tc>
      </w:tr>
      <w:tr w:rsidR="00DF6653" w14:paraId="35B70C3F" w14:textId="77777777" w:rsidTr="00330ADE">
        <w:trPr>
          <w:gridBefore w:val="1"/>
          <w:wBefore w:w="90" w:type="dxa"/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  <w:p w14:paraId="6191E97B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</w:tc>
      </w:tr>
      <w:tr w:rsidR="00DF6653" w14:paraId="35961063" w14:textId="77777777" w:rsidTr="00330ADE">
        <w:trPr>
          <w:gridBefore w:val="1"/>
          <w:wBefore w:w="90" w:type="dxa"/>
          <w:cantSplit/>
          <w:trHeight w:val="256"/>
        </w:trPr>
        <w:tc>
          <w:tcPr>
            <w:tcW w:w="1557" w:type="dxa"/>
          </w:tcPr>
          <w:p w14:paraId="4A5D8A54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1DE01150" w14:textId="77777777" w:rsidR="00C53AA3" w:rsidRDefault="00C53AA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53AA3">
              <w:rPr>
                <w:b/>
                <w:sz w:val="24"/>
                <w:szCs w:val="24"/>
              </w:rPr>
              <w:t>DRAFT PRELIMINARY VIEW</w:t>
            </w:r>
            <w:r>
              <w:rPr>
                <w:b/>
                <w:sz w:val="24"/>
                <w:szCs w:val="24"/>
              </w:rPr>
              <w:t xml:space="preserve"> FOR </w:t>
            </w:r>
          </w:p>
          <w:p w14:paraId="01909043" w14:textId="02C39DEA" w:rsidR="00DF6653" w:rsidRPr="00C148DD" w:rsidRDefault="00C53AA3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WRC-27 AGENDA ITEM 1.</w:t>
            </w:r>
            <w:r w:rsidR="00926D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14:paraId="21FB025B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3FC20FC" w14:textId="77777777" w:rsidTr="00330ADE">
        <w:trPr>
          <w:gridBefore w:val="1"/>
          <w:wBefore w:w="90" w:type="dxa"/>
          <w:cantSplit/>
          <w:trHeight w:val="256"/>
        </w:trPr>
        <w:tc>
          <w:tcPr>
            <w:tcW w:w="1557" w:type="dxa"/>
          </w:tcPr>
          <w:p w14:paraId="58FF7533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14A643C2" w:rsidR="00DF6653" w:rsidRPr="00C148DD" w:rsidRDefault="00DF6653" w:rsidP="0062056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</w:rPr>
              <w:t xml:space="preserve">(Item on the Agenda: </w:t>
            </w:r>
            <w:r w:rsidR="00C53AA3">
              <w:rPr>
                <w:b/>
                <w:sz w:val="24"/>
                <w:szCs w:val="24"/>
                <w:lang w:val="es-UY"/>
              </w:rPr>
              <w:t>3.1</w:t>
            </w:r>
            <w:r w:rsidRPr="00C148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B64C14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9A1C69B" w14:textId="77777777" w:rsidTr="00330ADE">
        <w:trPr>
          <w:gridBefore w:val="1"/>
          <w:wBefore w:w="90" w:type="dxa"/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14B2FA61" w:rsidR="00DF6653" w:rsidRPr="00C148DD" w:rsidRDefault="00DF6653" w:rsidP="005962C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00D77">
              <w:rPr>
                <w:b/>
                <w:sz w:val="24"/>
                <w:szCs w:val="24"/>
              </w:rPr>
              <w:t xml:space="preserve">(Document submitted by </w:t>
            </w:r>
            <w:r w:rsidR="00200D77" w:rsidRPr="00200D77">
              <w:rPr>
                <w:b/>
                <w:sz w:val="24"/>
                <w:szCs w:val="24"/>
              </w:rPr>
              <w:t>the Delegation of the United States</w:t>
            </w:r>
            <w:r w:rsidR="005962C2" w:rsidRPr="00200D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5962C2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Default="00DF6653">
      <w:pPr>
        <w:jc w:val="both"/>
        <w:rPr>
          <w:sz w:val="24"/>
        </w:rPr>
      </w:pPr>
    </w:p>
    <w:p w14:paraId="6EF01417" w14:textId="77777777" w:rsidR="00DF6653" w:rsidRDefault="00DF6653">
      <w:pPr>
        <w:rPr>
          <w:b/>
          <w:sz w:val="24"/>
        </w:rPr>
        <w:sectPr w:rsidR="00DF6653" w:rsidSect="00E04CA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Default="00DF6653">
      <w:pPr>
        <w:rPr>
          <w:b/>
          <w:sz w:val="24"/>
        </w:rPr>
      </w:pPr>
    </w:p>
    <w:p w14:paraId="1EFFCBEF" w14:textId="1D0F5A27" w:rsidR="00584D4E" w:rsidRPr="007F79E7" w:rsidRDefault="00584D4E" w:rsidP="00584D4E">
      <w:pPr>
        <w:rPr>
          <w:rFonts w:eastAsia="Calibri"/>
          <w:b/>
          <w:sz w:val="22"/>
          <w:szCs w:val="22"/>
          <w:lang w:val="pt-BR"/>
        </w:rPr>
      </w:pPr>
      <w:r w:rsidRPr="007F79E7">
        <w:rPr>
          <w:b/>
          <w:sz w:val="22"/>
          <w:szCs w:val="22"/>
          <w:lang w:val="pt-BR"/>
        </w:rPr>
        <w:t>SGT</w:t>
      </w:r>
      <w:r w:rsidRPr="007F79E7">
        <w:rPr>
          <w:b/>
          <w:sz w:val="22"/>
          <w:szCs w:val="22"/>
          <w:highlight w:val="yellow"/>
          <w:lang w:val="pt-BR"/>
        </w:rPr>
        <w:t>#</w:t>
      </w:r>
      <w:r w:rsidRPr="007F79E7">
        <w:rPr>
          <w:b/>
          <w:sz w:val="22"/>
          <w:szCs w:val="22"/>
          <w:lang w:val="pt-BR"/>
        </w:rPr>
        <w:t xml:space="preserve">: </w:t>
      </w:r>
      <w:r w:rsidR="00926D94">
        <w:rPr>
          <w:b/>
          <w:sz w:val="22"/>
          <w:szCs w:val="22"/>
          <w:lang w:val="pt-BR"/>
        </w:rPr>
        <w:t>1</w:t>
      </w:r>
    </w:p>
    <w:p w14:paraId="563F63BE" w14:textId="77777777" w:rsidR="00584D4E" w:rsidRPr="007F79E7" w:rsidRDefault="00584D4E" w:rsidP="00584D4E">
      <w:pPr>
        <w:rPr>
          <w:rFonts w:eastAsia="Calibri"/>
          <w:b/>
          <w:sz w:val="22"/>
          <w:szCs w:val="22"/>
          <w:lang w:val="pt-BR"/>
        </w:rPr>
      </w:pPr>
    </w:p>
    <w:p w14:paraId="58E25AA5" w14:textId="77777777" w:rsidR="00584D4E" w:rsidRPr="007F79E7" w:rsidRDefault="00584D4E" w:rsidP="00584D4E">
      <w:pPr>
        <w:rPr>
          <w:rFonts w:eastAsia="Calibri"/>
          <w:bCs/>
          <w:sz w:val="22"/>
          <w:szCs w:val="22"/>
          <w:lang w:val="pt-BR"/>
        </w:rPr>
      </w:pPr>
      <w:r w:rsidRPr="007F79E7">
        <w:rPr>
          <w:rFonts w:eastAsia="Calibri"/>
          <w:b/>
          <w:sz w:val="22"/>
          <w:szCs w:val="22"/>
          <w:lang w:val="pt-BR"/>
        </w:rPr>
        <w:t>Coordinator</w:t>
      </w:r>
      <w:r w:rsidRPr="007F79E7">
        <w:rPr>
          <w:rFonts w:eastAsia="Calibri"/>
          <w:b/>
          <w:bCs/>
          <w:sz w:val="22"/>
          <w:szCs w:val="22"/>
          <w:lang w:val="pt-BR"/>
        </w:rPr>
        <w:t xml:space="preserve">: </w:t>
      </w:r>
    </w:p>
    <w:p w14:paraId="7EBC57FC" w14:textId="77777777" w:rsidR="00584D4E" w:rsidRPr="007F79E7" w:rsidRDefault="00584D4E" w:rsidP="00584D4E">
      <w:pPr>
        <w:rPr>
          <w:b/>
          <w:sz w:val="22"/>
          <w:szCs w:val="22"/>
          <w:lang w:val="pt-BR"/>
        </w:rPr>
      </w:pPr>
    </w:p>
    <w:p w14:paraId="1A885BE8" w14:textId="77777777" w:rsidR="00584D4E" w:rsidRPr="007F79E7" w:rsidRDefault="00584D4E" w:rsidP="00584D4E">
      <w:pPr>
        <w:rPr>
          <w:rFonts w:eastAsia="Calibri"/>
          <w:b/>
          <w:sz w:val="22"/>
          <w:szCs w:val="22"/>
          <w:lang w:val="pt-BR"/>
        </w:rPr>
      </w:pPr>
      <w:r w:rsidRPr="007F79E7">
        <w:rPr>
          <w:rFonts w:eastAsia="Calibri"/>
          <w:b/>
          <w:sz w:val="22"/>
          <w:szCs w:val="22"/>
          <w:lang w:val="pt-BR"/>
        </w:rPr>
        <w:t xml:space="preserve">Vice-Coordinador: </w:t>
      </w:r>
    </w:p>
    <w:p w14:paraId="7C3A8268" w14:textId="77777777" w:rsidR="00584D4E" w:rsidRPr="007F79E7" w:rsidRDefault="00584D4E" w:rsidP="00584D4E">
      <w:pPr>
        <w:rPr>
          <w:rFonts w:eastAsia="Calibri"/>
          <w:sz w:val="22"/>
          <w:szCs w:val="22"/>
          <w:lang w:val="pt-BR" w:eastAsia="es-ES"/>
        </w:rPr>
      </w:pPr>
    </w:p>
    <w:p w14:paraId="6BA9D9A6" w14:textId="77777777" w:rsidR="00584D4E" w:rsidRPr="007F79E7" w:rsidRDefault="00584D4E" w:rsidP="00584D4E">
      <w:pPr>
        <w:autoSpaceDE w:val="0"/>
        <w:autoSpaceDN w:val="0"/>
        <w:adjustRightInd w:val="0"/>
        <w:rPr>
          <w:rFonts w:eastAsia="Calibri"/>
          <w:sz w:val="22"/>
          <w:szCs w:val="22"/>
          <w:lang w:val="pt-BR"/>
        </w:rPr>
      </w:pPr>
      <w:r w:rsidRPr="007F79E7">
        <w:rPr>
          <w:rFonts w:eastAsia="Calibri"/>
          <w:b/>
          <w:sz w:val="22"/>
          <w:szCs w:val="22"/>
          <w:lang w:val="pt-BR"/>
        </w:rPr>
        <w:t xml:space="preserve">Agenda Item Rapporteur: </w:t>
      </w:r>
    </w:p>
    <w:p w14:paraId="6E0F9788" w14:textId="77777777" w:rsidR="00584D4E" w:rsidRPr="007F79E7" w:rsidRDefault="00584D4E" w:rsidP="00584D4E">
      <w:pPr>
        <w:rPr>
          <w:rFonts w:eastAsia="Calibri"/>
          <w:sz w:val="22"/>
          <w:szCs w:val="22"/>
          <w:lang w:val="pt-BR"/>
        </w:rPr>
      </w:pPr>
    </w:p>
    <w:p w14:paraId="673541B4" w14:textId="77777777" w:rsidR="00584D4E" w:rsidRPr="007F79E7" w:rsidRDefault="00584D4E" w:rsidP="00584D4E">
      <w:pPr>
        <w:rPr>
          <w:rFonts w:eastAsia="Calibri"/>
          <w:bCs/>
          <w:sz w:val="22"/>
          <w:szCs w:val="22"/>
          <w:lang w:val="en-GB"/>
        </w:rPr>
      </w:pPr>
      <w:r w:rsidRPr="007F79E7">
        <w:rPr>
          <w:rFonts w:eastAsia="Calibri"/>
          <w:b/>
          <w:sz w:val="22"/>
          <w:szCs w:val="22"/>
          <w:lang w:val="en-GB"/>
        </w:rPr>
        <w:t xml:space="preserve">Agenda Item Vice-Rapporteur: </w:t>
      </w:r>
    </w:p>
    <w:p w14:paraId="15DD9E5E" w14:textId="77777777" w:rsidR="00DB12E8" w:rsidRPr="002B4C07" w:rsidRDefault="00DB12E8" w:rsidP="00DB12E8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3534E52" w14:textId="7150D217" w:rsidR="00EE3CD2" w:rsidRDefault="00620569" w:rsidP="00620569">
      <w:pPr>
        <w:rPr>
          <w:b/>
          <w:sz w:val="24"/>
        </w:rPr>
      </w:pPr>
      <w:r w:rsidRPr="0031615C">
        <w:rPr>
          <w:b/>
          <w:sz w:val="22"/>
        </w:rPr>
        <w:t xml:space="preserve"> </w:t>
      </w:r>
    </w:p>
    <w:p w14:paraId="091225DA" w14:textId="16FE9B52" w:rsidR="008646F6" w:rsidRDefault="004566B8" w:rsidP="0067020C">
      <w:pPr>
        <w:spacing w:before="120"/>
        <w:jc w:val="center"/>
        <w:rPr>
          <w:b/>
          <w:sz w:val="24"/>
          <w:szCs w:val="24"/>
        </w:rPr>
      </w:pPr>
      <w:r>
        <w:rPr>
          <w:sz w:val="24"/>
        </w:rPr>
        <w:br w:type="page"/>
      </w:r>
    </w:p>
    <w:p w14:paraId="1D107A1B" w14:textId="77777777" w:rsidR="0067020C" w:rsidRDefault="0067020C">
      <w:pPr>
        <w:widowControl w:val="0"/>
        <w:autoSpaceDE w:val="0"/>
        <w:autoSpaceDN w:val="0"/>
        <w:adjustRightInd w:val="0"/>
        <w:spacing w:line="200" w:lineRule="exact"/>
      </w:pPr>
      <w:bookmarkStart w:id="0" w:name="page2"/>
      <w:bookmarkEnd w:id="0"/>
    </w:p>
    <w:p w14:paraId="1C2926CB" w14:textId="77777777" w:rsidR="0067020C" w:rsidRDefault="0067020C">
      <w:pPr>
        <w:widowControl w:val="0"/>
        <w:autoSpaceDE w:val="0"/>
        <w:autoSpaceDN w:val="0"/>
        <w:adjustRightInd w:val="0"/>
        <w:spacing w:line="260" w:lineRule="exact"/>
      </w:pPr>
    </w:p>
    <w:p w14:paraId="71C1EA12" w14:textId="77777777" w:rsidR="0067020C" w:rsidRDefault="0067020C">
      <w:pPr>
        <w:widowControl w:val="0"/>
        <w:autoSpaceDE w:val="0"/>
        <w:autoSpaceDN w:val="0"/>
        <w:adjustRightInd w:val="0"/>
        <w:ind w:left="2560"/>
      </w:pPr>
      <w:r>
        <w:rPr>
          <w:b/>
          <w:bCs/>
        </w:rPr>
        <w:t>UNITED STATES OF AMERICA</w:t>
      </w:r>
    </w:p>
    <w:p w14:paraId="373DBAD0" w14:textId="77777777" w:rsidR="0067020C" w:rsidRDefault="0067020C">
      <w:pPr>
        <w:widowControl w:val="0"/>
        <w:autoSpaceDE w:val="0"/>
        <w:autoSpaceDN w:val="0"/>
        <w:adjustRightInd w:val="0"/>
        <w:spacing w:line="120" w:lineRule="exact"/>
      </w:pPr>
    </w:p>
    <w:p w14:paraId="56348438" w14:textId="77777777" w:rsidR="0067020C" w:rsidRDefault="0067020C">
      <w:pPr>
        <w:widowControl w:val="0"/>
        <w:autoSpaceDE w:val="0"/>
        <w:autoSpaceDN w:val="0"/>
        <w:adjustRightInd w:val="0"/>
        <w:ind w:left="1800"/>
      </w:pPr>
      <w:r>
        <w:rPr>
          <w:b/>
          <w:bCs/>
        </w:rPr>
        <w:t>DRAFT PRELIMINARY VIEWS FOR WRC-27</w:t>
      </w:r>
    </w:p>
    <w:p w14:paraId="37C13D33" w14:textId="77777777" w:rsidR="0067020C" w:rsidRDefault="0067020C">
      <w:pPr>
        <w:widowControl w:val="0"/>
        <w:autoSpaceDE w:val="0"/>
        <w:autoSpaceDN w:val="0"/>
        <w:adjustRightInd w:val="0"/>
        <w:spacing w:line="200" w:lineRule="exact"/>
      </w:pPr>
    </w:p>
    <w:p w14:paraId="0B5593BD" w14:textId="77777777" w:rsidR="0067020C" w:rsidRDefault="0067020C">
      <w:pPr>
        <w:widowControl w:val="0"/>
        <w:autoSpaceDE w:val="0"/>
        <w:autoSpaceDN w:val="0"/>
        <w:adjustRightInd w:val="0"/>
        <w:spacing w:line="314" w:lineRule="exact"/>
      </w:pPr>
    </w:p>
    <w:p w14:paraId="6D1174B4" w14:textId="77777777" w:rsidR="0067020C" w:rsidRPr="00C009E5" w:rsidRDefault="0067020C" w:rsidP="00C009E5">
      <w:pPr>
        <w:widowControl w:val="0"/>
        <w:overflowPunct w:val="0"/>
        <w:autoSpaceDE w:val="0"/>
        <w:autoSpaceDN w:val="0"/>
        <w:adjustRightInd w:val="0"/>
        <w:ind w:right="446"/>
      </w:pPr>
      <w:r w:rsidRPr="00C009E5">
        <w:rPr>
          <w:b/>
          <w:bCs/>
        </w:rPr>
        <w:t>Agenda Item 1.</w:t>
      </w:r>
      <w:r>
        <w:rPr>
          <w:b/>
          <w:bCs/>
        </w:rPr>
        <w:t>1</w:t>
      </w:r>
      <w:r w:rsidRPr="00F77A79">
        <w:t xml:space="preserve">:  </w:t>
      </w:r>
      <w:r w:rsidRPr="00431321">
        <w:rPr>
          <w:rFonts w:eastAsia="Calibri"/>
        </w:rPr>
        <w:t xml:space="preserve">to consider the technical and operational conditions for the use of the frequency bands 47.2-50.2 GHz and 50.4-51.4 GHz (Earth-to-space), or parts thereof, by aeronautical and maritime earth stations in motion communicating with space stations in the fixed-satellite service and develop regulatory measures, as appropriate, to facilitate the use of the frequency bands 47.2-50.2 GHz and 50.4-51.4 GHz (Earth-to-space), or parts thereof, by aeronautical and maritime earth stations in motion communicating with geostationary space stations and non-geostationary space stations in the fixed-satellite service, in accordance with Resolution </w:t>
      </w:r>
      <w:r w:rsidRPr="00431321">
        <w:rPr>
          <w:rFonts w:eastAsia="Calibri"/>
          <w:b/>
          <w:bCs/>
        </w:rPr>
        <w:t>176 (Rev.WRC-23);</w:t>
      </w:r>
    </w:p>
    <w:p w14:paraId="51B6FC53" w14:textId="77777777" w:rsidR="0067020C" w:rsidRPr="00C009E5" w:rsidRDefault="0067020C" w:rsidP="00C009E5">
      <w:pPr>
        <w:widowControl w:val="0"/>
        <w:autoSpaceDE w:val="0"/>
        <w:autoSpaceDN w:val="0"/>
        <w:adjustRightInd w:val="0"/>
      </w:pPr>
    </w:p>
    <w:p w14:paraId="73FADB62" w14:textId="77777777" w:rsidR="0067020C" w:rsidRPr="00C009E5" w:rsidRDefault="0067020C" w:rsidP="00C009E5">
      <w:pPr>
        <w:widowControl w:val="0"/>
        <w:overflowPunct w:val="0"/>
        <w:autoSpaceDE w:val="0"/>
        <w:autoSpaceDN w:val="0"/>
        <w:adjustRightInd w:val="0"/>
        <w:ind w:right="40"/>
      </w:pPr>
      <w:r w:rsidRPr="00C009E5">
        <w:rPr>
          <w:b/>
          <w:bCs/>
        </w:rPr>
        <w:t>BACKGROUND</w:t>
      </w:r>
      <w:r w:rsidRPr="00C009E5">
        <w:t xml:space="preserve">:  </w:t>
      </w:r>
    </w:p>
    <w:p w14:paraId="79BF39A1" w14:textId="77777777" w:rsidR="0067020C" w:rsidRDefault="0067020C" w:rsidP="00673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812DF95" w14:textId="77777777" w:rsidR="0067020C" w:rsidRDefault="0067020C" w:rsidP="00D947D8">
      <w:pPr>
        <w:jc w:val="both"/>
      </w:pPr>
      <w:r w:rsidRPr="00D947D8">
        <w:t xml:space="preserve">Previous WRC’s have addressed the </w:t>
      </w:r>
      <w:r>
        <w:t>spectrum needs and</w:t>
      </w:r>
      <w:r w:rsidRPr="00D947D8">
        <w:t xml:space="preserve"> use of aeronautical and maritime </w:t>
      </w:r>
      <w:r>
        <w:t>earth station in motion (</w:t>
      </w:r>
      <w:r w:rsidRPr="00D947D8">
        <w:t>ESIM</w:t>
      </w:r>
      <w:r>
        <w:t>)</w:t>
      </w:r>
      <w:r w:rsidRPr="00D947D8">
        <w:t>, which includes</w:t>
      </w:r>
      <w:r>
        <w:t xml:space="preserve"> the adoption of</w:t>
      </w:r>
      <w:r w:rsidRPr="00D947D8">
        <w:t xml:space="preserve"> technical and regulatory requirements to allow such operations. In the Radio Regulations, Resolutions </w:t>
      </w:r>
      <w:r w:rsidRPr="00D947D8">
        <w:rPr>
          <w:b/>
          <w:bCs/>
        </w:rPr>
        <w:t>902 (WRC-03)</w:t>
      </w:r>
      <w:r w:rsidRPr="00D947D8">
        <w:t xml:space="preserve">, </w:t>
      </w:r>
      <w:r w:rsidRPr="00D947D8">
        <w:rPr>
          <w:b/>
          <w:bCs/>
        </w:rPr>
        <w:t>156 (WRC-15)</w:t>
      </w:r>
      <w:r w:rsidRPr="00D947D8">
        <w:t xml:space="preserve">, </w:t>
      </w:r>
      <w:r w:rsidRPr="00D947D8">
        <w:rPr>
          <w:b/>
          <w:bCs/>
        </w:rPr>
        <w:t>169 (WRC-19)</w:t>
      </w:r>
      <w:r w:rsidRPr="00D947D8">
        <w:t xml:space="preserve">, </w:t>
      </w:r>
      <w:r w:rsidRPr="00D947D8">
        <w:rPr>
          <w:b/>
          <w:bCs/>
        </w:rPr>
        <w:t>121 (WRC-23)</w:t>
      </w:r>
      <w:r w:rsidRPr="00D947D8">
        <w:t xml:space="preserve"> and </w:t>
      </w:r>
      <w:r w:rsidRPr="00D947D8">
        <w:rPr>
          <w:b/>
          <w:bCs/>
        </w:rPr>
        <w:t>123 (WRC-23)</w:t>
      </w:r>
      <w:r w:rsidRPr="00D947D8">
        <w:t xml:space="preserve"> define technical and regulatory rules to allow ESIM communicating with GSO FSS networks and</w:t>
      </w:r>
      <w:r>
        <w:t>/or</w:t>
      </w:r>
      <w:r w:rsidRPr="00D947D8">
        <w:t xml:space="preserve"> non-GSO FSS systems to provide broadband communications in various frequency bands.</w:t>
      </w:r>
    </w:p>
    <w:p w14:paraId="471827FA" w14:textId="77777777" w:rsidR="0067020C" w:rsidRPr="00D947D8" w:rsidRDefault="0067020C" w:rsidP="00D947D8">
      <w:pPr>
        <w:jc w:val="both"/>
      </w:pPr>
    </w:p>
    <w:p w14:paraId="04C27B4A" w14:textId="77777777" w:rsidR="0067020C" w:rsidRDefault="0067020C" w:rsidP="00D947D8">
      <w:pPr>
        <w:rPr>
          <w:lang w:eastAsia="zh-CN"/>
        </w:rPr>
      </w:pPr>
      <w:r w:rsidRPr="00D947D8">
        <w:rPr>
          <w:lang w:eastAsia="zh-CN"/>
        </w:rPr>
        <w:t xml:space="preserve">Resolution </w:t>
      </w:r>
      <w:r w:rsidRPr="00D947D8">
        <w:rPr>
          <w:b/>
          <w:bCs/>
          <w:lang w:eastAsia="zh-CN"/>
        </w:rPr>
        <w:t>176 (Rev.WRC-23)</w:t>
      </w:r>
      <w:r w:rsidRPr="00D947D8">
        <w:rPr>
          <w:lang w:eastAsia="zh-CN"/>
        </w:rPr>
        <w:t xml:space="preserve"> calls for studies on possible use of frequency bands 47.2-50.2 GHz (Earth-to-space) and 50.4-51.4 GHz (Earth-to-space), or parts thereof, by aeronautical</w:t>
      </w:r>
      <w:r>
        <w:rPr>
          <w:lang w:eastAsia="zh-CN"/>
        </w:rPr>
        <w:t xml:space="preserve"> ESIM (A-ESIM)</w:t>
      </w:r>
      <w:r w:rsidRPr="00D947D8">
        <w:rPr>
          <w:lang w:eastAsia="zh-CN"/>
        </w:rPr>
        <w:t xml:space="preserve"> and maritime </w:t>
      </w:r>
      <w:r>
        <w:rPr>
          <w:lang w:eastAsia="zh-CN"/>
        </w:rPr>
        <w:t>ESIM (M-ESIM)</w:t>
      </w:r>
      <w:r w:rsidRPr="00D947D8">
        <w:rPr>
          <w:lang w:eastAsia="zh-CN"/>
        </w:rPr>
        <w:t xml:space="preserve"> </w:t>
      </w:r>
      <w:r>
        <w:rPr>
          <w:lang w:eastAsia="zh-CN"/>
        </w:rPr>
        <w:t xml:space="preserve">to communicate with space station </w:t>
      </w:r>
      <w:r w:rsidRPr="00D947D8">
        <w:rPr>
          <w:lang w:eastAsia="zh-CN"/>
        </w:rPr>
        <w:t>in the fixed-satellite service.</w:t>
      </w:r>
      <w:r>
        <w:rPr>
          <w:lang w:eastAsia="zh-CN"/>
        </w:rPr>
        <w:t xml:space="preserve">  These studies should assess the spectrum needs for additional A-ESIM and M-ESIM, as well as the sharing and compatibility with the services allocated in these frequency bands (and adjacent) on a primary basis.  Given Resolution </w:t>
      </w:r>
      <w:r w:rsidRPr="005A2122">
        <w:rPr>
          <w:b/>
          <w:bCs/>
          <w:lang w:eastAsia="zh-CN"/>
        </w:rPr>
        <w:t>176</w:t>
      </w:r>
      <w:r>
        <w:rPr>
          <w:lang w:eastAsia="zh-CN"/>
        </w:rPr>
        <w:t xml:space="preserve"> considers both the use of GSO and NGSO ESIM, the aggregate impact should be accounted for in the studies.</w:t>
      </w:r>
    </w:p>
    <w:p w14:paraId="340074B7" w14:textId="77777777" w:rsidR="0067020C" w:rsidRDefault="0067020C" w:rsidP="003A7DA1">
      <w:pPr>
        <w:rPr>
          <w:lang w:eastAsia="zh-CN"/>
        </w:rPr>
      </w:pPr>
    </w:p>
    <w:p w14:paraId="108A581D" w14:textId="77777777" w:rsidR="0067020C" w:rsidRPr="001F2377" w:rsidRDefault="0067020C" w:rsidP="00C009E5">
      <w:pPr>
        <w:widowControl w:val="0"/>
        <w:autoSpaceDE w:val="0"/>
        <w:autoSpaceDN w:val="0"/>
        <w:adjustRightInd w:val="0"/>
        <w:rPr>
          <w:lang w:val="en-GB"/>
        </w:rPr>
      </w:pPr>
      <w:r w:rsidRPr="001F2377">
        <w:rPr>
          <w:lang w:val="en-GB"/>
        </w:rPr>
        <w:t>Under Resolution </w:t>
      </w:r>
      <w:r w:rsidRPr="001F2377">
        <w:rPr>
          <w:b/>
          <w:bCs/>
          <w:lang w:val="en-GB"/>
        </w:rPr>
        <w:t>176 (Rev. WRC-23),</w:t>
      </w:r>
      <w:r w:rsidRPr="001F2377">
        <w:rPr>
          <w:lang w:val="en-GB"/>
        </w:rPr>
        <w:t xml:space="preserve"> Agenda Item 1.1 considers the frequency band 47.2-50.2 GHz for FSS (Earth-to-space) NGSO A-ESIM and M-ESIM operations.  This band is often paired with the 37.5-42.5 GHz FSS (space-to-Earth) frequency band, which is not covered by Resolution </w:t>
      </w:r>
      <w:r w:rsidRPr="001F2377">
        <w:rPr>
          <w:b/>
          <w:bCs/>
          <w:lang w:val="en-GB"/>
        </w:rPr>
        <w:t>176</w:t>
      </w:r>
      <w:r w:rsidRPr="001F2377">
        <w:rPr>
          <w:lang w:val="en-GB"/>
        </w:rPr>
        <w:t xml:space="preserve"> and is not addressed under this agenda item.  It is noted that under RR No. </w:t>
      </w:r>
      <w:r w:rsidRPr="001F2377">
        <w:rPr>
          <w:b/>
          <w:bCs/>
          <w:lang w:val="en-GB"/>
        </w:rPr>
        <w:t>21.16.4</w:t>
      </w:r>
      <w:r w:rsidRPr="001F2377">
        <w:rPr>
          <w:lang w:val="en-GB"/>
        </w:rPr>
        <w:t xml:space="preserve">, the applicability of the </w:t>
      </w:r>
      <w:proofErr w:type="spellStart"/>
      <w:r w:rsidRPr="001F2377">
        <w:rPr>
          <w:lang w:val="en-GB"/>
        </w:rPr>
        <w:t>pfd</w:t>
      </w:r>
      <w:proofErr w:type="spellEnd"/>
      <w:r w:rsidRPr="001F2377">
        <w:rPr>
          <w:lang w:val="en-GB"/>
        </w:rPr>
        <w:t xml:space="preserve"> limit values in Table </w:t>
      </w:r>
      <w:r w:rsidRPr="001F2377">
        <w:rPr>
          <w:b/>
          <w:bCs/>
          <w:lang w:val="en-GB"/>
        </w:rPr>
        <w:t>21-4</w:t>
      </w:r>
      <w:r w:rsidRPr="001F2377">
        <w:rPr>
          <w:lang w:val="en-GB"/>
        </w:rPr>
        <w:t>, in the bands 37.5-40 GHz and 40.5-42.5 GHz,</w:t>
      </w:r>
      <w:r w:rsidRPr="001F2377">
        <w:rPr>
          <w:b/>
          <w:bCs/>
          <w:lang w:val="en-GB"/>
        </w:rPr>
        <w:t> </w:t>
      </w:r>
      <w:r w:rsidRPr="001F2377">
        <w:rPr>
          <w:lang w:val="en-GB"/>
        </w:rPr>
        <w:t>for space stations operating in NGSO systems with 100 or more satellites is subject to further study.</w:t>
      </w:r>
    </w:p>
    <w:p w14:paraId="26631CE4" w14:textId="77777777" w:rsidR="0067020C" w:rsidRPr="000E10AE" w:rsidRDefault="0067020C" w:rsidP="00C009E5">
      <w:pPr>
        <w:widowControl w:val="0"/>
        <w:autoSpaceDE w:val="0"/>
        <w:autoSpaceDN w:val="0"/>
        <w:adjustRightInd w:val="0"/>
      </w:pPr>
    </w:p>
    <w:p w14:paraId="43580DD3" w14:textId="77777777" w:rsidR="0067020C" w:rsidRPr="000E10AE" w:rsidRDefault="0067020C" w:rsidP="00C009E5">
      <w:pPr>
        <w:widowControl w:val="0"/>
        <w:overflowPunct w:val="0"/>
        <w:autoSpaceDE w:val="0"/>
        <w:autoSpaceDN w:val="0"/>
        <w:adjustRightInd w:val="0"/>
        <w:ind w:right="60"/>
      </w:pPr>
      <w:r w:rsidRPr="000E10AE">
        <w:rPr>
          <w:b/>
          <w:bCs/>
        </w:rPr>
        <w:t>U.S. VIEW</w:t>
      </w:r>
      <w:r w:rsidRPr="000E10AE">
        <w:t xml:space="preserve">:  </w:t>
      </w:r>
    </w:p>
    <w:p w14:paraId="24173DEE" w14:textId="77777777" w:rsidR="0067020C" w:rsidRPr="000E10AE" w:rsidRDefault="0067020C" w:rsidP="00C009E5">
      <w:pPr>
        <w:widowControl w:val="0"/>
        <w:overflowPunct w:val="0"/>
        <w:autoSpaceDE w:val="0"/>
        <w:autoSpaceDN w:val="0"/>
        <w:adjustRightInd w:val="0"/>
        <w:ind w:right="60"/>
      </w:pPr>
    </w:p>
    <w:p w14:paraId="2AAFAAFB" w14:textId="77777777" w:rsidR="0067020C" w:rsidRDefault="0067020C" w:rsidP="000E10AE">
      <w:pPr>
        <w:rPr>
          <w:color w:val="201F1E"/>
          <w:shd w:val="clear" w:color="auto" w:fill="FFFFFF"/>
        </w:rPr>
      </w:pPr>
      <w:r w:rsidRPr="000E10AE">
        <w:rPr>
          <w:color w:val="201F1E"/>
          <w:shd w:val="clear" w:color="auto" w:fill="FFFFFF"/>
        </w:rPr>
        <w:t xml:space="preserve">The United States supports the sharing and compatibility studies called for in Resolution </w:t>
      </w:r>
      <w:r>
        <w:rPr>
          <w:b/>
          <w:bCs/>
          <w:color w:val="201F1E"/>
          <w:shd w:val="clear" w:color="auto" w:fill="FFFFFF"/>
        </w:rPr>
        <w:t>176</w:t>
      </w:r>
      <w:r w:rsidRPr="000E10AE">
        <w:rPr>
          <w:b/>
          <w:bCs/>
          <w:color w:val="201F1E"/>
          <w:shd w:val="clear" w:color="auto" w:fill="FFFFFF"/>
        </w:rPr>
        <w:t xml:space="preserve"> (WRC-23)</w:t>
      </w:r>
      <w:r w:rsidRPr="000E10AE">
        <w:rPr>
          <w:color w:val="201F1E"/>
          <w:shd w:val="clear" w:color="auto" w:fill="FFFFFF"/>
        </w:rPr>
        <w:t xml:space="preserve">, with a view to ensure the protection of services to which the frequency bands are allocated on a primary basis.  </w:t>
      </w:r>
      <w:r>
        <w:rPr>
          <w:color w:val="201F1E"/>
          <w:shd w:val="clear" w:color="auto" w:fill="FFFFFF"/>
        </w:rPr>
        <w:t xml:space="preserve">Studies should </w:t>
      </w:r>
      <w:proofErr w:type="gramStart"/>
      <w:r>
        <w:rPr>
          <w:color w:val="201F1E"/>
          <w:shd w:val="clear" w:color="auto" w:fill="FFFFFF"/>
        </w:rPr>
        <w:t>take into account</w:t>
      </w:r>
      <w:proofErr w:type="gramEnd"/>
      <w:r>
        <w:rPr>
          <w:color w:val="201F1E"/>
          <w:shd w:val="clear" w:color="auto" w:fill="FFFFFF"/>
        </w:rPr>
        <w:t>:</w:t>
      </w:r>
    </w:p>
    <w:p w14:paraId="303F18A8" w14:textId="77777777" w:rsidR="0067020C" w:rsidRDefault="0067020C" w:rsidP="000E10AE">
      <w:pPr>
        <w:rPr>
          <w:color w:val="201F1E"/>
          <w:shd w:val="clear" w:color="auto" w:fill="FFFFFF"/>
        </w:rPr>
      </w:pPr>
    </w:p>
    <w:p w14:paraId="7FA1A4B7" w14:textId="77777777" w:rsidR="0067020C" w:rsidRPr="003A7DA1" w:rsidRDefault="0067020C" w:rsidP="0067020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In Region 2</w:t>
      </w:r>
      <w:r w:rsidRPr="00C03C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</w:t>
      </w:r>
      <w:r w:rsidRPr="00C03C2B">
        <w:rPr>
          <w:rFonts w:ascii="Times New Roman" w:hAnsi="Times New Roman"/>
        </w:rPr>
        <w:t xml:space="preserve">frequency band </w:t>
      </w:r>
      <w:r>
        <w:rPr>
          <w:rFonts w:ascii="Times New Roman" w:hAnsi="Times New Roman"/>
        </w:rPr>
        <w:t xml:space="preserve">47.2-48.2 GHz </w:t>
      </w:r>
      <w:r w:rsidRPr="00C03C2B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identified for the terrestrial component of IMT</w:t>
      </w:r>
      <w:r w:rsidRPr="00C03C2B">
        <w:rPr>
          <w:rFonts w:ascii="Times New Roman" w:hAnsi="Times New Roman"/>
        </w:rPr>
        <w:t xml:space="preserve"> (see No. </w:t>
      </w:r>
      <w:r w:rsidRPr="00C03C2B">
        <w:rPr>
          <w:rFonts w:ascii="Times New Roman" w:hAnsi="Times New Roman"/>
          <w:b/>
          <w:bCs/>
        </w:rPr>
        <w:t>5.553B</w:t>
      </w:r>
      <w:r w:rsidRPr="00C03C2B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the </w:t>
      </w:r>
      <w:r w:rsidRPr="00C03C2B">
        <w:rPr>
          <w:rFonts w:ascii="Times New Roman" w:hAnsi="Times New Roman"/>
        </w:rPr>
        <w:t>frequency bands 47.</w:t>
      </w:r>
      <w:r>
        <w:rPr>
          <w:rFonts w:ascii="Times New Roman" w:hAnsi="Times New Roman"/>
        </w:rPr>
        <w:t>2</w:t>
      </w:r>
      <w:r w:rsidRPr="00C03C2B">
        <w:rPr>
          <w:rFonts w:ascii="Times New Roman" w:hAnsi="Times New Roman"/>
        </w:rPr>
        <w:t xml:space="preserve">-47.5 GHz and 47.9-48.2 GHz are identified for HAPS (see No. </w:t>
      </w:r>
      <w:r w:rsidRPr="00C03C2B">
        <w:rPr>
          <w:rFonts w:ascii="Times New Roman" w:hAnsi="Times New Roman"/>
          <w:b/>
          <w:bCs/>
        </w:rPr>
        <w:t>5.552A</w:t>
      </w:r>
      <w:r w:rsidRPr="00C03C2B">
        <w:rPr>
          <w:rFonts w:ascii="Times New Roman" w:hAnsi="Times New Roman"/>
        </w:rPr>
        <w:t xml:space="preserve">) and </w:t>
      </w:r>
      <w:r>
        <w:rPr>
          <w:rFonts w:ascii="Times New Roman" w:hAnsi="Times New Roman"/>
        </w:rPr>
        <w:t>the frequency band 48.2-50.2 GHz</w:t>
      </w:r>
      <w:r w:rsidRPr="00C03C2B">
        <w:rPr>
          <w:rFonts w:ascii="Times New Roman" w:hAnsi="Times New Roman"/>
        </w:rPr>
        <w:t xml:space="preserve"> is identified</w:t>
      </w:r>
      <w:r>
        <w:rPr>
          <w:rFonts w:ascii="Times New Roman" w:hAnsi="Times New Roman"/>
        </w:rPr>
        <w:t xml:space="preserve"> for use by high-density applications of the fixed-satellite services</w:t>
      </w:r>
      <w:r w:rsidRPr="00C03C2B">
        <w:rPr>
          <w:rFonts w:ascii="Times New Roman" w:hAnsi="Times New Roman"/>
        </w:rPr>
        <w:t xml:space="preserve"> (see No. </w:t>
      </w:r>
      <w:r w:rsidRPr="00C03C2B">
        <w:rPr>
          <w:rFonts w:ascii="Times New Roman" w:hAnsi="Times New Roman"/>
          <w:b/>
          <w:bCs/>
        </w:rPr>
        <w:t>5.516B).</w:t>
      </w:r>
    </w:p>
    <w:p w14:paraId="77390FD1" w14:textId="77777777" w:rsidR="0067020C" w:rsidRPr="005A2122" w:rsidRDefault="0067020C" w:rsidP="0067020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947D8">
        <w:rPr>
          <w:rFonts w:ascii="Times New Roman" w:hAnsi="Times New Roman"/>
        </w:rPr>
        <w:t xml:space="preserve">The frequency band 48.94-49.04 GHz is allocated to the radio astronomy service (RAS) on a primary basis, and administrations are urged to take all practicable steps to protect the RAS from </w:t>
      </w:r>
      <w:r w:rsidRPr="005A2122">
        <w:rPr>
          <w:rFonts w:ascii="Times New Roman" w:hAnsi="Times New Roman"/>
        </w:rPr>
        <w:t xml:space="preserve">harmful interference, in accordance with No. </w:t>
      </w:r>
      <w:r w:rsidRPr="005A2122">
        <w:rPr>
          <w:rFonts w:ascii="Times New Roman" w:hAnsi="Times New Roman"/>
          <w:b/>
          <w:bCs/>
        </w:rPr>
        <w:t>5.149</w:t>
      </w:r>
      <w:r w:rsidRPr="005A2122">
        <w:rPr>
          <w:rFonts w:ascii="Times New Roman" w:hAnsi="Times New Roman"/>
        </w:rPr>
        <w:t xml:space="preserve">. </w:t>
      </w:r>
    </w:p>
    <w:p w14:paraId="6320B132" w14:textId="77777777" w:rsidR="0067020C" w:rsidRPr="0086128E" w:rsidRDefault="0067020C" w:rsidP="0067020C">
      <w:pPr>
        <w:pStyle w:val="ListParagraph"/>
        <w:numPr>
          <w:ilvl w:val="0"/>
          <w:numId w:val="8"/>
        </w:numPr>
        <w:rPr>
          <w:rFonts w:ascii="Times New Roman" w:hAnsi="Times New Roman"/>
          <w:color w:val="201F1E"/>
          <w:shd w:val="clear" w:color="auto" w:fill="FFFFFF"/>
        </w:rPr>
      </w:pPr>
      <w:r w:rsidRPr="005A2122">
        <w:rPr>
          <w:rFonts w:ascii="Times New Roman" w:hAnsi="Times New Roman"/>
        </w:rPr>
        <w:t>The frequency band 50.2-50.4 GHz is allocated to the Earth exploration-satellite service (EESS) (passive)</w:t>
      </w:r>
      <w:r w:rsidRPr="00AB03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 primary basis</w:t>
      </w:r>
      <w:r w:rsidRPr="005A2122">
        <w:rPr>
          <w:rFonts w:ascii="Times New Roman" w:hAnsi="Times New Roman"/>
        </w:rPr>
        <w:t xml:space="preserve">, where No. </w:t>
      </w:r>
      <w:r w:rsidRPr="005A2122">
        <w:rPr>
          <w:rFonts w:ascii="Times New Roman" w:hAnsi="Times New Roman"/>
          <w:b/>
          <w:bCs/>
        </w:rPr>
        <w:t>5.340</w:t>
      </w:r>
      <w:r w:rsidRPr="005A2122">
        <w:rPr>
          <w:rFonts w:ascii="Times New Roman" w:hAnsi="Times New Roman"/>
        </w:rPr>
        <w:t xml:space="preserve"> applies. </w:t>
      </w:r>
    </w:p>
    <w:p w14:paraId="783AB722" w14:textId="77777777" w:rsidR="0067020C" w:rsidRDefault="0067020C" w:rsidP="000E10AE">
      <w:pPr>
        <w:rPr>
          <w:color w:val="201F1E"/>
          <w:shd w:val="clear" w:color="auto" w:fill="FFFFFF"/>
        </w:rPr>
      </w:pPr>
    </w:p>
    <w:p w14:paraId="41FA9369" w14:textId="408D159A" w:rsidR="004566B8" w:rsidRPr="0067020C" w:rsidRDefault="0067020C" w:rsidP="0067020C">
      <w:pPr>
        <w:widowControl w:val="0"/>
        <w:overflowPunct w:val="0"/>
        <w:autoSpaceDE w:val="0"/>
        <w:autoSpaceDN w:val="0"/>
        <w:adjustRightInd w:val="0"/>
        <w:ind w:right="60"/>
        <w:jc w:val="center"/>
      </w:pPr>
      <w:r>
        <w:t>___________________</w:t>
      </w:r>
    </w:p>
    <w:sectPr w:rsidR="004566B8" w:rsidRPr="0067020C" w:rsidSect="00E04CA9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2B1D" w14:textId="77777777" w:rsidR="00B97A48" w:rsidRDefault="00B97A48">
      <w:r>
        <w:separator/>
      </w:r>
    </w:p>
  </w:endnote>
  <w:endnote w:type="continuationSeparator" w:id="0">
    <w:p w14:paraId="41968656" w14:textId="77777777" w:rsidR="00B97A48" w:rsidRDefault="00B9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FF98" w14:textId="77777777" w:rsidR="00C41FAE" w:rsidRPr="00F21240" w:rsidRDefault="00C41FAE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F21240">
      <w:rPr>
        <w:rStyle w:val="PageNumber"/>
        <w:sz w:val="22"/>
        <w:szCs w:val="22"/>
      </w:rPr>
      <w:fldChar w:fldCharType="begin"/>
    </w:r>
    <w:r w:rsidRPr="00F21240">
      <w:rPr>
        <w:rStyle w:val="PageNumber"/>
        <w:sz w:val="22"/>
        <w:szCs w:val="22"/>
      </w:rPr>
      <w:instrText xml:space="preserve">PAGE  </w:instrText>
    </w:r>
    <w:r w:rsidRPr="00F21240">
      <w:rPr>
        <w:rStyle w:val="PageNumber"/>
        <w:sz w:val="22"/>
        <w:szCs w:val="22"/>
      </w:rPr>
      <w:fldChar w:fldCharType="separate"/>
    </w:r>
    <w:r w:rsidR="007C4674" w:rsidRPr="00F21240">
      <w:rPr>
        <w:rStyle w:val="PageNumber"/>
        <w:noProof/>
        <w:sz w:val="22"/>
        <w:szCs w:val="22"/>
      </w:rPr>
      <w:t>2</w:t>
    </w:r>
    <w:r w:rsidRPr="00F21240">
      <w:rPr>
        <w:rStyle w:val="PageNumber"/>
        <w:sz w:val="22"/>
        <w:szCs w:val="22"/>
      </w:rPr>
      <w:fldChar w:fldCharType="end"/>
    </w:r>
  </w:p>
  <w:p w14:paraId="64BD47E1" w14:textId="275EE774" w:rsidR="00C41FAE" w:rsidRPr="00F21240" w:rsidRDefault="00C41FAE" w:rsidP="008646F6">
    <w:pPr>
      <w:pStyle w:val="Footer"/>
      <w:tabs>
        <w:tab w:val="clear" w:pos="4419"/>
        <w:tab w:val="clear" w:pos="8838"/>
      </w:tabs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56735388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F57A" w14:textId="77777777" w:rsidR="00B97A48" w:rsidRDefault="00B97A48">
      <w:r>
        <w:separator/>
      </w:r>
    </w:p>
  </w:footnote>
  <w:footnote w:type="continuationSeparator" w:id="0">
    <w:p w14:paraId="47BD506A" w14:textId="77777777" w:rsidR="00B97A48" w:rsidRDefault="00B9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7" w:type="dxa"/>
      <w:tblInd w:w="-45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8730"/>
    </w:tblGrid>
    <w:tr w:rsidR="00C41FAE" w:rsidRPr="008646F6" w14:paraId="4F38018C" w14:textId="77777777" w:rsidTr="000E68AE">
      <w:trPr>
        <w:cantSplit/>
        <w:trHeight w:val="1710"/>
      </w:trPr>
      <w:tc>
        <w:tcPr>
          <w:tcW w:w="1487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7C16B364">
                <wp:simplePos x="0" y="0"/>
                <wp:positionH relativeFrom="page">
                  <wp:posOffset>39675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5181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8C05ED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E9E6E2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AF0FB5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8191B5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1F9C423D" w14:textId="42C0E1AD" w:rsidR="00C41FAE" w:rsidRPr="00C148DD" w:rsidRDefault="00016AF3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ORGANIZACI</w:t>
          </w:r>
          <w:r w:rsidR="009762A5" w:rsidRPr="00C148DD">
            <w:rPr>
              <w:rFonts w:ascii="Arial" w:hAnsi="Arial" w:cs="Arial"/>
              <w:b/>
              <w:sz w:val="25"/>
              <w:szCs w:val="25"/>
              <w:lang w:val="es-ES"/>
            </w:rPr>
            <w:t>Ó</w:t>
          </w:r>
          <w:r w:rsidR="00C41FAE"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N DE LOS ESTADOS AMERICANOS </w:t>
          </w:r>
        </w:p>
        <w:p w14:paraId="48A5CFC3" w14:textId="77777777" w:rsidR="00C41FAE" w:rsidRPr="00C148DD" w:rsidRDefault="00C41FAE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ORGANIZATION OF AMERICAN STATES </w:t>
          </w:r>
        </w:p>
        <w:p w14:paraId="1C204F1F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</w:p>
        <w:p w14:paraId="1E882597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Comisión Interamericana de Telecomunicaciones</w:t>
          </w:r>
        </w:p>
        <w:p w14:paraId="6816D6B6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Inter-American </w:t>
          </w:r>
          <w:proofErr w:type="spellStart"/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Telecommunication</w:t>
          </w:r>
          <w:proofErr w:type="spellEnd"/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 </w:t>
          </w:r>
          <w:proofErr w:type="spellStart"/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Commission</w:t>
          </w:r>
          <w:proofErr w:type="spellEnd"/>
        </w:p>
      </w:tc>
    </w:tr>
  </w:tbl>
  <w:p w14:paraId="32A0343F" w14:textId="77777777" w:rsidR="00C41FAE" w:rsidRPr="00DF6653" w:rsidRDefault="00C41FAE" w:rsidP="00B11C25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8E4F95"/>
    <w:multiLevelType w:val="hybridMultilevel"/>
    <w:tmpl w:val="EAA43298"/>
    <w:lvl w:ilvl="0" w:tplc="70247904">
      <w:start w:val="3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3FA3DB3"/>
    <w:multiLevelType w:val="hybridMultilevel"/>
    <w:tmpl w:val="782E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1FD9"/>
    <w:multiLevelType w:val="hybridMultilevel"/>
    <w:tmpl w:val="429EFE72"/>
    <w:lvl w:ilvl="0" w:tplc="142076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6403183">
    <w:abstractNumId w:val="0"/>
  </w:num>
  <w:num w:numId="2" w16cid:durableId="892891657">
    <w:abstractNumId w:val="2"/>
  </w:num>
  <w:num w:numId="3" w16cid:durableId="75444708">
    <w:abstractNumId w:val="7"/>
  </w:num>
  <w:num w:numId="4" w16cid:durableId="1183780543">
    <w:abstractNumId w:val="1"/>
  </w:num>
  <w:num w:numId="5" w16cid:durableId="2065710388">
    <w:abstractNumId w:val="4"/>
  </w:num>
  <w:num w:numId="6" w16cid:durableId="616791064">
    <w:abstractNumId w:val="6"/>
  </w:num>
  <w:num w:numId="7" w16cid:durableId="1501777502">
    <w:abstractNumId w:val="3"/>
  </w:num>
  <w:num w:numId="8" w16cid:durableId="1130517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258F"/>
    <w:rsid w:val="00016AF3"/>
    <w:rsid w:val="00036C89"/>
    <w:rsid w:val="00040B1C"/>
    <w:rsid w:val="0004372C"/>
    <w:rsid w:val="00047907"/>
    <w:rsid w:val="0006494B"/>
    <w:rsid w:val="000729CB"/>
    <w:rsid w:val="0009082A"/>
    <w:rsid w:val="00092B9A"/>
    <w:rsid w:val="000C13F4"/>
    <w:rsid w:val="000D09FC"/>
    <w:rsid w:val="000E0D26"/>
    <w:rsid w:val="000E519C"/>
    <w:rsid w:val="000E68AE"/>
    <w:rsid w:val="000F0EB4"/>
    <w:rsid w:val="000F672B"/>
    <w:rsid w:val="000F792F"/>
    <w:rsid w:val="001042D1"/>
    <w:rsid w:val="00130557"/>
    <w:rsid w:val="0013634A"/>
    <w:rsid w:val="00137555"/>
    <w:rsid w:val="0014316F"/>
    <w:rsid w:val="00147B70"/>
    <w:rsid w:val="00164759"/>
    <w:rsid w:val="001656B9"/>
    <w:rsid w:val="00175AC0"/>
    <w:rsid w:val="001C62FE"/>
    <w:rsid w:val="001E2B56"/>
    <w:rsid w:val="00200D77"/>
    <w:rsid w:val="00204E6D"/>
    <w:rsid w:val="00211705"/>
    <w:rsid w:val="00214619"/>
    <w:rsid w:val="002178DF"/>
    <w:rsid w:val="002240B4"/>
    <w:rsid w:val="00233132"/>
    <w:rsid w:val="0024202E"/>
    <w:rsid w:val="0025504C"/>
    <w:rsid w:val="00272043"/>
    <w:rsid w:val="002909CF"/>
    <w:rsid w:val="002A4370"/>
    <w:rsid w:val="002A6325"/>
    <w:rsid w:val="002B132D"/>
    <w:rsid w:val="002C3B9D"/>
    <w:rsid w:val="002F7DBB"/>
    <w:rsid w:val="003001F7"/>
    <w:rsid w:val="003068B6"/>
    <w:rsid w:val="003117D2"/>
    <w:rsid w:val="003154A6"/>
    <w:rsid w:val="0031615C"/>
    <w:rsid w:val="00323684"/>
    <w:rsid w:val="00330ADE"/>
    <w:rsid w:val="003330C5"/>
    <w:rsid w:val="00357A92"/>
    <w:rsid w:val="003701A5"/>
    <w:rsid w:val="00375A06"/>
    <w:rsid w:val="00394C7C"/>
    <w:rsid w:val="003B26CD"/>
    <w:rsid w:val="003D169D"/>
    <w:rsid w:val="00426E20"/>
    <w:rsid w:val="004462A0"/>
    <w:rsid w:val="0045478F"/>
    <w:rsid w:val="004566B8"/>
    <w:rsid w:val="004571A3"/>
    <w:rsid w:val="00471B76"/>
    <w:rsid w:val="00481E2D"/>
    <w:rsid w:val="00482036"/>
    <w:rsid w:val="00482D07"/>
    <w:rsid w:val="00493129"/>
    <w:rsid w:val="004A7659"/>
    <w:rsid w:val="004B39D5"/>
    <w:rsid w:val="004D474D"/>
    <w:rsid w:val="004D7CD7"/>
    <w:rsid w:val="004E2D44"/>
    <w:rsid w:val="004E74AB"/>
    <w:rsid w:val="004F7C58"/>
    <w:rsid w:val="005156A2"/>
    <w:rsid w:val="00515919"/>
    <w:rsid w:val="005165B4"/>
    <w:rsid w:val="005175FB"/>
    <w:rsid w:val="00520426"/>
    <w:rsid w:val="0053030A"/>
    <w:rsid w:val="005308BE"/>
    <w:rsid w:val="005315BE"/>
    <w:rsid w:val="00532018"/>
    <w:rsid w:val="00543EEF"/>
    <w:rsid w:val="00560562"/>
    <w:rsid w:val="00584D4E"/>
    <w:rsid w:val="005863A9"/>
    <w:rsid w:val="005962C2"/>
    <w:rsid w:val="005A57AD"/>
    <w:rsid w:val="005A59CA"/>
    <w:rsid w:val="005B391F"/>
    <w:rsid w:val="005B5405"/>
    <w:rsid w:val="005B6C85"/>
    <w:rsid w:val="005C2D79"/>
    <w:rsid w:val="005C4FF3"/>
    <w:rsid w:val="005C60FF"/>
    <w:rsid w:val="005E2C5E"/>
    <w:rsid w:val="00602931"/>
    <w:rsid w:val="00603422"/>
    <w:rsid w:val="00620569"/>
    <w:rsid w:val="006445B1"/>
    <w:rsid w:val="00662EE2"/>
    <w:rsid w:val="0067020C"/>
    <w:rsid w:val="00686D89"/>
    <w:rsid w:val="00696717"/>
    <w:rsid w:val="006A19D4"/>
    <w:rsid w:val="006C2785"/>
    <w:rsid w:val="006D29DC"/>
    <w:rsid w:val="006D315B"/>
    <w:rsid w:val="006D63BD"/>
    <w:rsid w:val="006E16A4"/>
    <w:rsid w:val="006F3040"/>
    <w:rsid w:val="007043EB"/>
    <w:rsid w:val="00757F6D"/>
    <w:rsid w:val="00762C5B"/>
    <w:rsid w:val="007765B0"/>
    <w:rsid w:val="007907D1"/>
    <w:rsid w:val="007A0652"/>
    <w:rsid w:val="007C4674"/>
    <w:rsid w:val="007C70B1"/>
    <w:rsid w:val="007F4F0E"/>
    <w:rsid w:val="00804806"/>
    <w:rsid w:val="00807D30"/>
    <w:rsid w:val="00825084"/>
    <w:rsid w:val="0082548B"/>
    <w:rsid w:val="008264D0"/>
    <w:rsid w:val="00827DE4"/>
    <w:rsid w:val="008325E6"/>
    <w:rsid w:val="00835CCA"/>
    <w:rsid w:val="00840D79"/>
    <w:rsid w:val="0084584A"/>
    <w:rsid w:val="00851A6B"/>
    <w:rsid w:val="008535FB"/>
    <w:rsid w:val="00854E0B"/>
    <w:rsid w:val="00855704"/>
    <w:rsid w:val="00857D7C"/>
    <w:rsid w:val="008616D8"/>
    <w:rsid w:val="008646F6"/>
    <w:rsid w:val="008819AD"/>
    <w:rsid w:val="00897200"/>
    <w:rsid w:val="008A26EB"/>
    <w:rsid w:val="008A61D6"/>
    <w:rsid w:val="008B66E9"/>
    <w:rsid w:val="008C16A2"/>
    <w:rsid w:val="008C70E1"/>
    <w:rsid w:val="008F141E"/>
    <w:rsid w:val="008F2196"/>
    <w:rsid w:val="00915118"/>
    <w:rsid w:val="00926D94"/>
    <w:rsid w:val="00951448"/>
    <w:rsid w:val="0096041A"/>
    <w:rsid w:val="0096773A"/>
    <w:rsid w:val="009762A5"/>
    <w:rsid w:val="0097711D"/>
    <w:rsid w:val="009801AE"/>
    <w:rsid w:val="00982377"/>
    <w:rsid w:val="00986B91"/>
    <w:rsid w:val="009B3A10"/>
    <w:rsid w:val="009B3A2A"/>
    <w:rsid w:val="009B7B6A"/>
    <w:rsid w:val="009C5BF9"/>
    <w:rsid w:val="009E427F"/>
    <w:rsid w:val="00A0122F"/>
    <w:rsid w:val="00A21F24"/>
    <w:rsid w:val="00A339A9"/>
    <w:rsid w:val="00A36BD9"/>
    <w:rsid w:val="00A4159C"/>
    <w:rsid w:val="00A51807"/>
    <w:rsid w:val="00A6371A"/>
    <w:rsid w:val="00A91BE9"/>
    <w:rsid w:val="00AA2672"/>
    <w:rsid w:val="00AB17C2"/>
    <w:rsid w:val="00AC0FEE"/>
    <w:rsid w:val="00AD2E19"/>
    <w:rsid w:val="00B11C25"/>
    <w:rsid w:val="00B3194A"/>
    <w:rsid w:val="00B335FC"/>
    <w:rsid w:val="00B35BBD"/>
    <w:rsid w:val="00B42446"/>
    <w:rsid w:val="00B47FB3"/>
    <w:rsid w:val="00B52A9B"/>
    <w:rsid w:val="00B63DC3"/>
    <w:rsid w:val="00B64C14"/>
    <w:rsid w:val="00B71FAB"/>
    <w:rsid w:val="00B83494"/>
    <w:rsid w:val="00B91A68"/>
    <w:rsid w:val="00B97A48"/>
    <w:rsid w:val="00BB75F2"/>
    <w:rsid w:val="00BC3156"/>
    <w:rsid w:val="00BC317B"/>
    <w:rsid w:val="00BE2796"/>
    <w:rsid w:val="00BF172C"/>
    <w:rsid w:val="00BF4130"/>
    <w:rsid w:val="00C01078"/>
    <w:rsid w:val="00C05C35"/>
    <w:rsid w:val="00C06068"/>
    <w:rsid w:val="00C14398"/>
    <w:rsid w:val="00C148DD"/>
    <w:rsid w:val="00C407E9"/>
    <w:rsid w:val="00C41FAE"/>
    <w:rsid w:val="00C439D7"/>
    <w:rsid w:val="00C47412"/>
    <w:rsid w:val="00C52356"/>
    <w:rsid w:val="00C53AA3"/>
    <w:rsid w:val="00C57390"/>
    <w:rsid w:val="00C9294D"/>
    <w:rsid w:val="00CA04C5"/>
    <w:rsid w:val="00CB70F8"/>
    <w:rsid w:val="00CD1C09"/>
    <w:rsid w:val="00CF50F0"/>
    <w:rsid w:val="00CF7528"/>
    <w:rsid w:val="00D10A19"/>
    <w:rsid w:val="00D26C36"/>
    <w:rsid w:val="00D65DD8"/>
    <w:rsid w:val="00D80FAB"/>
    <w:rsid w:val="00D87E29"/>
    <w:rsid w:val="00D949C7"/>
    <w:rsid w:val="00D96B94"/>
    <w:rsid w:val="00DB12E8"/>
    <w:rsid w:val="00DB3583"/>
    <w:rsid w:val="00DC4830"/>
    <w:rsid w:val="00DF3FB6"/>
    <w:rsid w:val="00DF6653"/>
    <w:rsid w:val="00E01269"/>
    <w:rsid w:val="00E04CA9"/>
    <w:rsid w:val="00E06311"/>
    <w:rsid w:val="00E120C7"/>
    <w:rsid w:val="00E16756"/>
    <w:rsid w:val="00E25223"/>
    <w:rsid w:val="00E41667"/>
    <w:rsid w:val="00E55E58"/>
    <w:rsid w:val="00E648C4"/>
    <w:rsid w:val="00E70641"/>
    <w:rsid w:val="00E71456"/>
    <w:rsid w:val="00E879C2"/>
    <w:rsid w:val="00EC417C"/>
    <w:rsid w:val="00ED49AA"/>
    <w:rsid w:val="00EE239A"/>
    <w:rsid w:val="00EE3CD2"/>
    <w:rsid w:val="00F21240"/>
    <w:rsid w:val="00F259D9"/>
    <w:rsid w:val="00F41393"/>
    <w:rsid w:val="00F4553D"/>
    <w:rsid w:val="00F62A22"/>
    <w:rsid w:val="00F63C10"/>
    <w:rsid w:val="00F822D4"/>
    <w:rsid w:val="00F825EB"/>
    <w:rsid w:val="00FA216B"/>
    <w:rsid w:val="00FB264C"/>
    <w:rsid w:val="00FB5584"/>
    <w:rsid w:val="00FD1C9C"/>
    <w:rsid w:val="00FE72DF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table" w:styleId="TableGrid">
    <w:name w:val="Table Grid"/>
    <w:basedOn w:val="TableNormal"/>
    <w:rsid w:val="00DB12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53A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AA3"/>
  </w:style>
  <w:style w:type="paragraph" w:styleId="NormalWeb">
    <w:name w:val="Normal (Web)"/>
    <w:basedOn w:val="Normal"/>
    <w:uiPriority w:val="99"/>
    <w:unhideWhenUsed/>
    <w:rsid w:val="00C53AA3"/>
    <w:pPr>
      <w:spacing w:after="300" w:line="360" w:lineRule="atLeast"/>
    </w:pPr>
    <w:rPr>
      <w:color w:val="777777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62A0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646F6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8" ma:contentTypeDescription="Create a new document." ma:contentTypeScope="" ma:versionID="245891c3b2db21cd732f49f340f2ff2b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64c21e04211c1532d899b8aa5d0a605b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CB92F-593A-43FC-8B15-B116C000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4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ENGLISH VERSION</vt:lpstr>
    </vt:vector>
  </TitlesOfParts>
  <Manager/>
  <Company>CITEL</Company>
  <LinksUpToDate>false</LinksUpToDate>
  <CharactersWithSpaces>3973</CharactersWithSpaces>
  <SharedDoc>false</SharedDoc>
  <HyperlinkBase/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WRC - ENGLISH VERSION</dc:title>
  <dc:subject/>
  <dc:creator>CITEL</dc:creator>
  <cp:keywords/>
  <dc:description>VB</dc:description>
  <cp:lastModifiedBy>Glass, Charles</cp:lastModifiedBy>
  <cp:revision>2</cp:revision>
  <cp:lastPrinted>1999-10-11T18:56:00Z</cp:lastPrinted>
  <dcterms:created xsi:type="dcterms:W3CDTF">2024-08-30T12:11:00Z</dcterms:created>
  <dcterms:modified xsi:type="dcterms:W3CDTF">2024-08-30T12:11:00Z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i4>33091800</vt:i4>
  </property>
  <property fmtid="{D5CDD505-2E9C-101B-9397-08002B2CF9AE}" pid="7" name="MediaServiceImageTags">
    <vt:lpwstr/>
  </property>
</Properties>
</file>