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EC0" w14:textId="77777777" w:rsidR="00DF6653" w:rsidRPr="00787930" w:rsidRDefault="00DF6653">
      <w:pPr>
        <w:pStyle w:val="Header"/>
        <w:tabs>
          <w:tab w:val="clear" w:pos="4419"/>
          <w:tab w:val="clear" w:pos="8838"/>
        </w:tabs>
      </w:pPr>
    </w:p>
    <w:tbl>
      <w:tblPr>
        <w:tblW w:w="9825" w:type="dxa"/>
        <w:tblInd w:w="-470" w:type="dxa"/>
        <w:tblLayout w:type="fixed"/>
        <w:tblCellMar>
          <w:left w:w="70" w:type="dxa"/>
          <w:right w:w="70" w:type="dxa"/>
        </w:tblCellMar>
        <w:tblLook w:val="0000" w:firstRow="0" w:lastRow="0" w:firstColumn="0" w:lastColumn="0" w:noHBand="0" w:noVBand="0"/>
      </w:tblPr>
      <w:tblGrid>
        <w:gridCol w:w="1037"/>
        <w:gridCol w:w="4095"/>
        <w:gridCol w:w="4693"/>
      </w:tblGrid>
      <w:tr w:rsidR="00674BB6" w:rsidRPr="00787930" w14:paraId="750C38ED" w14:textId="77777777" w:rsidTr="00D51099">
        <w:tc>
          <w:tcPr>
            <w:tcW w:w="5132" w:type="dxa"/>
            <w:gridSpan w:val="2"/>
          </w:tcPr>
          <w:p w14:paraId="40C71D9D" w14:textId="533D12BF" w:rsidR="00BF6558" w:rsidRPr="00787930" w:rsidRDefault="003870CF" w:rsidP="00BF6558">
            <w:pPr>
              <w:rPr>
                <w:b/>
                <w:sz w:val="22"/>
                <w:szCs w:val="22"/>
              </w:rPr>
            </w:pPr>
            <w:r>
              <w:rPr>
                <w:b/>
                <w:sz w:val="22"/>
                <w:szCs w:val="22"/>
              </w:rPr>
              <w:t>40</w:t>
            </w:r>
            <w:r w:rsidR="00BF6558" w:rsidRPr="00787930">
              <w:rPr>
                <w:b/>
                <w:sz w:val="22"/>
                <w:szCs w:val="22"/>
              </w:rPr>
              <w:t xml:space="preserve"> MEETING OF PERMANENT</w:t>
            </w:r>
          </w:p>
          <w:p w14:paraId="31C7E42E" w14:textId="77777777" w:rsidR="00BF6558" w:rsidRPr="00787930" w:rsidRDefault="00BF6558" w:rsidP="00BF6558">
            <w:pPr>
              <w:rPr>
                <w:b/>
                <w:sz w:val="22"/>
                <w:szCs w:val="22"/>
              </w:rPr>
            </w:pPr>
            <w:r w:rsidRPr="00787930">
              <w:rPr>
                <w:b/>
                <w:sz w:val="22"/>
                <w:szCs w:val="22"/>
              </w:rPr>
              <w:t>CONSULTATIVE COMMITTEE II:</w:t>
            </w:r>
          </w:p>
          <w:p w14:paraId="5C8991E0" w14:textId="77777777" w:rsidR="00BF6558" w:rsidRPr="00787930" w:rsidRDefault="00BF6558" w:rsidP="00BF6558">
            <w:pPr>
              <w:rPr>
                <w:b/>
                <w:sz w:val="22"/>
                <w:szCs w:val="22"/>
              </w:rPr>
            </w:pPr>
            <w:r w:rsidRPr="00787930">
              <w:rPr>
                <w:b/>
                <w:sz w:val="22"/>
                <w:szCs w:val="22"/>
              </w:rPr>
              <w:t>RADIOCOMMUNICATIONS</w:t>
            </w:r>
          </w:p>
          <w:p w14:paraId="21B56490" w14:textId="38898EA5" w:rsidR="0034099B" w:rsidRPr="00E10EE9" w:rsidRDefault="00955D5F" w:rsidP="0034099B">
            <w:pPr>
              <w:rPr>
                <w:b/>
                <w:sz w:val="22"/>
                <w:szCs w:val="22"/>
              </w:rPr>
            </w:pPr>
            <w:r>
              <w:rPr>
                <w:b/>
                <w:sz w:val="22"/>
                <w:szCs w:val="22"/>
              </w:rPr>
              <w:t>October 31</w:t>
            </w:r>
            <w:r w:rsidR="0034099B" w:rsidRPr="00E10EE9">
              <w:rPr>
                <w:b/>
                <w:sz w:val="22"/>
                <w:szCs w:val="22"/>
              </w:rPr>
              <w:t xml:space="preserve"> to </w:t>
            </w:r>
            <w:r>
              <w:rPr>
                <w:b/>
                <w:sz w:val="22"/>
                <w:szCs w:val="22"/>
              </w:rPr>
              <w:t>November 04</w:t>
            </w:r>
            <w:r w:rsidR="0034099B" w:rsidRPr="00E10EE9">
              <w:rPr>
                <w:b/>
                <w:sz w:val="22"/>
                <w:szCs w:val="22"/>
              </w:rPr>
              <w:t>, 2022</w:t>
            </w:r>
          </w:p>
          <w:p w14:paraId="78B9D40C" w14:textId="17D4C397" w:rsidR="00674BB6" w:rsidRPr="00787930" w:rsidRDefault="00955D5F" w:rsidP="0034099B">
            <w:pPr>
              <w:rPr>
                <w:b/>
                <w:i/>
                <w:sz w:val="22"/>
                <w:szCs w:val="22"/>
              </w:rPr>
            </w:pPr>
            <w:r>
              <w:rPr>
                <w:b/>
                <w:iCs/>
                <w:sz w:val="22"/>
                <w:szCs w:val="22"/>
              </w:rPr>
              <w:t>Port of Spain, Trinidad and Tobago</w:t>
            </w:r>
          </w:p>
        </w:tc>
        <w:tc>
          <w:tcPr>
            <w:tcW w:w="4693" w:type="dxa"/>
          </w:tcPr>
          <w:p w14:paraId="190BDAF0" w14:textId="4A54CE06" w:rsidR="00F87BE8" w:rsidRDefault="00F87BE8" w:rsidP="00F87BE8">
            <w:pPr>
              <w:ind w:left="708"/>
              <w:rPr>
                <w:b/>
                <w:sz w:val="22"/>
                <w:szCs w:val="22"/>
              </w:rPr>
            </w:pPr>
            <w:r w:rsidRPr="00494E63">
              <w:rPr>
                <w:b/>
                <w:sz w:val="22"/>
                <w:szCs w:val="22"/>
              </w:rPr>
              <w:t>OEA/</w:t>
            </w:r>
            <w:proofErr w:type="spellStart"/>
            <w:r w:rsidRPr="00494E63">
              <w:rPr>
                <w:b/>
                <w:sz w:val="22"/>
                <w:szCs w:val="22"/>
              </w:rPr>
              <w:t>Ser.L</w:t>
            </w:r>
            <w:proofErr w:type="spellEnd"/>
            <w:r w:rsidRPr="00494E63">
              <w:rPr>
                <w:b/>
                <w:sz w:val="22"/>
                <w:szCs w:val="22"/>
              </w:rPr>
              <w:t>/</w:t>
            </w:r>
            <w:r w:rsidR="0034099B" w:rsidRPr="00E10EE9">
              <w:rPr>
                <w:b/>
                <w:sz w:val="22"/>
                <w:szCs w:val="22"/>
              </w:rPr>
              <w:t>XVII.4.2.39</w:t>
            </w:r>
          </w:p>
          <w:p w14:paraId="45E31204" w14:textId="1C8B4654" w:rsidR="00EA13DC" w:rsidRPr="002B4C07" w:rsidRDefault="00EA13DC" w:rsidP="00EA13DC">
            <w:pPr>
              <w:rPr>
                <w:b/>
                <w:sz w:val="22"/>
                <w:szCs w:val="22"/>
              </w:rPr>
            </w:pPr>
            <w:r>
              <w:rPr>
                <w:b/>
                <w:sz w:val="22"/>
                <w:szCs w:val="22"/>
              </w:rPr>
              <w:t xml:space="preserve">             </w:t>
            </w:r>
            <w:r w:rsidRPr="002B4C07">
              <w:rPr>
                <w:b/>
                <w:sz w:val="22"/>
                <w:szCs w:val="22"/>
              </w:rPr>
              <w:t xml:space="preserve">CCP.II-RADIO /doc. </w:t>
            </w:r>
            <w:r w:rsidRPr="002B4C07">
              <w:rPr>
                <w:b/>
                <w:sz w:val="22"/>
                <w:szCs w:val="22"/>
                <w:highlight w:val="yellow"/>
              </w:rPr>
              <w:fldChar w:fldCharType="begin"/>
            </w:r>
            <w:r w:rsidRPr="002B4C07">
              <w:rPr>
                <w:b/>
                <w:sz w:val="22"/>
                <w:szCs w:val="22"/>
                <w:highlight w:val="yellow"/>
              </w:rPr>
              <w:instrText xml:space="preserve"> MACROBUTTON  AcceptAllChangesInDocAndStopTracking "[Doc. No.]" </w:instrText>
            </w:r>
            <w:r w:rsidRPr="002B4C07">
              <w:rPr>
                <w:b/>
                <w:sz w:val="22"/>
                <w:szCs w:val="22"/>
                <w:highlight w:val="yellow"/>
              </w:rPr>
              <w:fldChar w:fldCharType="end"/>
            </w:r>
            <w:r w:rsidRPr="002B4C07">
              <w:rPr>
                <w:b/>
                <w:sz w:val="22"/>
                <w:szCs w:val="22"/>
              </w:rPr>
              <w:t>/22</w:t>
            </w:r>
          </w:p>
          <w:p w14:paraId="03833115" w14:textId="212DAF8B" w:rsidR="00674BB6" w:rsidRPr="00787930" w:rsidRDefault="00955D5F" w:rsidP="00D51099">
            <w:pPr>
              <w:ind w:left="708" w:right="-1065"/>
              <w:rPr>
                <w:b/>
                <w:sz w:val="22"/>
                <w:szCs w:val="22"/>
              </w:rPr>
            </w:pPr>
            <w:r>
              <w:rPr>
                <w:b/>
                <w:sz w:val="22"/>
                <w:szCs w:val="22"/>
              </w:rPr>
              <w:t>6 October 2022</w:t>
            </w:r>
          </w:p>
          <w:p w14:paraId="5AFE9E50" w14:textId="77777777" w:rsidR="00674BB6" w:rsidRPr="00787930" w:rsidRDefault="00674BB6" w:rsidP="00D51099">
            <w:pPr>
              <w:ind w:left="708"/>
              <w:rPr>
                <w:b/>
                <w:sz w:val="22"/>
                <w:szCs w:val="22"/>
              </w:rPr>
            </w:pPr>
            <w:r w:rsidRPr="00787930">
              <w:rPr>
                <w:b/>
                <w:sz w:val="22"/>
                <w:szCs w:val="22"/>
              </w:rPr>
              <w:t xml:space="preserve">Original: </w:t>
            </w:r>
            <w:r>
              <w:rPr>
                <w:b/>
                <w:sz w:val="22"/>
                <w:szCs w:val="22"/>
              </w:rPr>
              <w:t>English</w:t>
            </w:r>
          </w:p>
        </w:tc>
      </w:tr>
      <w:tr w:rsidR="00DF6653" w:rsidRPr="00787930" w14:paraId="5B217769" w14:textId="77777777" w:rsidTr="00494E63">
        <w:tc>
          <w:tcPr>
            <w:tcW w:w="5132" w:type="dxa"/>
            <w:gridSpan w:val="2"/>
          </w:tcPr>
          <w:p w14:paraId="036A5500" w14:textId="6724884F" w:rsidR="00DF6653" w:rsidRPr="00787930" w:rsidRDefault="00DF6653" w:rsidP="0001152F">
            <w:pPr>
              <w:rPr>
                <w:b/>
                <w:i/>
                <w:sz w:val="22"/>
                <w:szCs w:val="22"/>
              </w:rPr>
            </w:pPr>
          </w:p>
        </w:tc>
        <w:tc>
          <w:tcPr>
            <w:tcW w:w="4693" w:type="dxa"/>
          </w:tcPr>
          <w:p w14:paraId="160F1190" w14:textId="23A76042" w:rsidR="00DF6653" w:rsidRPr="00787930" w:rsidRDefault="00DF6653" w:rsidP="00241F6B">
            <w:pPr>
              <w:ind w:left="708"/>
              <w:rPr>
                <w:b/>
                <w:sz w:val="22"/>
                <w:szCs w:val="22"/>
              </w:rPr>
            </w:pPr>
          </w:p>
        </w:tc>
      </w:tr>
      <w:tr w:rsidR="00DF6653" w:rsidRPr="00787930" w14:paraId="6EFF4AA4" w14:textId="77777777" w:rsidTr="00494E63">
        <w:trPr>
          <w:cantSplit/>
        </w:trPr>
        <w:tc>
          <w:tcPr>
            <w:tcW w:w="9825" w:type="dxa"/>
            <w:gridSpan w:val="3"/>
          </w:tcPr>
          <w:p w14:paraId="2DEED688" w14:textId="77777777" w:rsidR="00DF6653" w:rsidRPr="00787930" w:rsidRDefault="00DF6653">
            <w:pPr>
              <w:rPr>
                <w:b/>
                <w:sz w:val="22"/>
              </w:rPr>
            </w:pPr>
          </w:p>
          <w:p w14:paraId="3EA8DBA6" w14:textId="77777777" w:rsidR="00DF6653" w:rsidRPr="00787930" w:rsidRDefault="00DF6653">
            <w:pPr>
              <w:rPr>
                <w:b/>
                <w:sz w:val="22"/>
              </w:rPr>
            </w:pPr>
          </w:p>
        </w:tc>
      </w:tr>
      <w:tr w:rsidR="00955D5F" w:rsidRPr="00596F6A" w14:paraId="39C9951F" w14:textId="77777777" w:rsidTr="00494E63">
        <w:trPr>
          <w:cantSplit/>
          <w:trHeight w:val="257"/>
        </w:trPr>
        <w:tc>
          <w:tcPr>
            <w:tcW w:w="1037" w:type="dxa"/>
          </w:tcPr>
          <w:p w14:paraId="52DF5F87" w14:textId="77777777" w:rsidR="00955D5F" w:rsidRPr="00596F6A" w:rsidRDefault="00955D5F" w:rsidP="00955D5F">
            <w:pPr>
              <w:spacing w:before="120"/>
              <w:jc w:val="center"/>
              <w:rPr>
                <w:b/>
                <w:sz w:val="24"/>
                <w:szCs w:val="24"/>
              </w:rPr>
            </w:pPr>
          </w:p>
        </w:tc>
        <w:tc>
          <w:tcPr>
            <w:tcW w:w="8788" w:type="dxa"/>
            <w:gridSpan w:val="2"/>
          </w:tcPr>
          <w:p w14:paraId="22FACEB1" w14:textId="77777777" w:rsidR="00955D5F" w:rsidRDefault="00955D5F" w:rsidP="00955D5F">
            <w:pPr>
              <w:spacing w:before="120"/>
              <w:jc w:val="center"/>
              <w:rPr>
                <w:b/>
                <w:sz w:val="24"/>
                <w:szCs w:val="24"/>
              </w:rPr>
            </w:pPr>
            <w:r w:rsidRPr="00D903B4">
              <w:rPr>
                <w:b/>
                <w:sz w:val="24"/>
                <w:szCs w:val="24"/>
              </w:rPr>
              <w:t xml:space="preserve">DRAFT PROPOSALS FOR THE WORK OF THE CONFERENCE </w:t>
            </w:r>
          </w:p>
          <w:p w14:paraId="5E6091E3" w14:textId="5C032C58" w:rsidR="00955D5F" w:rsidRPr="00596F6A" w:rsidRDefault="00955D5F" w:rsidP="00955D5F">
            <w:pPr>
              <w:spacing w:before="120"/>
              <w:jc w:val="center"/>
              <w:rPr>
                <w:b/>
                <w:sz w:val="24"/>
                <w:szCs w:val="24"/>
              </w:rPr>
            </w:pPr>
            <w:r w:rsidRPr="00D903B4">
              <w:rPr>
                <w:b/>
                <w:bCs/>
                <w:sz w:val="24"/>
                <w:szCs w:val="24"/>
              </w:rPr>
              <w:t>AGENDA ITEM 1.</w:t>
            </w:r>
            <w:r w:rsidR="0081652C">
              <w:rPr>
                <w:b/>
                <w:bCs/>
                <w:sz w:val="24"/>
                <w:szCs w:val="24"/>
              </w:rPr>
              <w:t>5</w:t>
            </w:r>
          </w:p>
        </w:tc>
      </w:tr>
      <w:tr w:rsidR="00955D5F" w:rsidRPr="00596F6A" w14:paraId="1548EEB0" w14:textId="77777777" w:rsidTr="00494E63">
        <w:trPr>
          <w:cantSplit/>
          <w:trHeight w:val="257"/>
        </w:trPr>
        <w:tc>
          <w:tcPr>
            <w:tcW w:w="1037" w:type="dxa"/>
          </w:tcPr>
          <w:p w14:paraId="056A9012" w14:textId="77777777" w:rsidR="00955D5F" w:rsidRPr="00596F6A" w:rsidRDefault="00955D5F" w:rsidP="00955D5F">
            <w:pPr>
              <w:spacing w:before="120"/>
              <w:jc w:val="center"/>
              <w:rPr>
                <w:b/>
                <w:sz w:val="24"/>
                <w:szCs w:val="24"/>
              </w:rPr>
            </w:pPr>
          </w:p>
        </w:tc>
        <w:tc>
          <w:tcPr>
            <w:tcW w:w="8788" w:type="dxa"/>
            <w:gridSpan w:val="2"/>
          </w:tcPr>
          <w:p w14:paraId="6425B2CA" w14:textId="7361D095" w:rsidR="00955D5F" w:rsidRPr="00596F6A" w:rsidRDefault="00955D5F" w:rsidP="00955D5F">
            <w:pPr>
              <w:spacing w:before="120"/>
              <w:rPr>
                <w:b/>
                <w:sz w:val="24"/>
                <w:szCs w:val="24"/>
              </w:rPr>
            </w:pPr>
          </w:p>
        </w:tc>
      </w:tr>
      <w:tr w:rsidR="00955D5F" w:rsidRPr="00596F6A" w14:paraId="14D55719" w14:textId="77777777" w:rsidTr="00494E63">
        <w:trPr>
          <w:cantSplit/>
          <w:trHeight w:val="257"/>
        </w:trPr>
        <w:tc>
          <w:tcPr>
            <w:tcW w:w="1037" w:type="dxa"/>
            <w:tcBorders>
              <w:bottom w:val="nil"/>
            </w:tcBorders>
          </w:tcPr>
          <w:p w14:paraId="29F9A0B8" w14:textId="77777777" w:rsidR="00955D5F" w:rsidRPr="00596F6A" w:rsidRDefault="00955D5F" w:rsidP="00955D5F">
            <w:pPr>
              <w:spacing w:before="120"/>
              <w:jc w:val="center"/>
              <w:rPr>
                <w:b/>
                <w:sz w:val="24"/>
                <w:szCs w:val="24"/>
              </w:rPr>
            </w:pPr>
          </w:p>
        </w:tc>
        <w:tc>
          <w:tcPr>
            <w:tcW w:w="8788" w:type="dxa"/>
            <w:gridSpan w:val="2"/>
            <w:tcBorders>
              <w:bottom w:val="nil"/>
            </w:tcBorders>
          </w:tcPr>
          <w:p w14:paraId="179158F7" w14:textId="107517A0" w:rsidR="00955D5F" w:rsidRPr="00596F6A" w:rsidRDefault="00955D5F" w:rsidP="00955D5F">
            <w:pPr>
              <w:spacing w:before="120"/>
              <w:ind w:right="375"/>
              <w:jc w:val="center"/>
              <w:rPr>
                <w:rFonts w:eastAsia="Calibri"/>
                <w:b/>
                <w:sz w:val="24"/>
                <w:szCs w:val="24"/>
              </w:rPr>
            </w:pPr>
            <w:r w:rsidRPr="00596F6A">
              <w:rPr>
                <w:rFonts w:eastAsia="Calibri"/>
                <w:b/>
                <w:sz w:val="24"/>
                <w:szCs w:val="24"/>
              </w:rPr>
              <w:t>(Item on the Agenda: 3.1)</w:t>
            </w:r>
          </w:p>
          <w:p w14:paraId="689770F5" w14:textId="03E856C0" w:rsidR="00955D5F" w:rsidRPr="00596F6A" w:rsidRDefault="00955D5F" w:rsidP="00955D5F">
            <w:pPr>
              <w:spacing w:before="120"/>
              <w:jc w:val="center"/>
              <w:rPr>
                <w:b/>
                <w:sz w:val="24"/>
                <w:szCs w:val="24"/>
              </w:rPr>
            </w:pPr>
            <w:r w:rsidRPr="00596F6A">
              <w:rPr>
                <w:rFonts w:eastAsia="Calibri"/>
                <w:b/>
                <w:sz w:val="24"/>
                <w:szCs w:val="24"/>
              </w:rPr>
              <w:t xml:space="preserve">(Document submitted by the </w:t>
            </w:r>
            <w:r>
              <w:rPr>
                <w:rFonts w:eastAsia="Calibri"/>
                <w:b/>
                <w:sz w:val="24"/>
                <w:szCs w:val="24"/>
              </w:rPr>
              <w:t>United States of America</w:t>
            </w:r>
            <w:r w:rsidRPr="00596F6A">
              <w:rPr>
                <w:rFonts w:eastAsia="Calibri"/>
                <w:b/>
                <w:sz w:val="24"/>
                <w:szCs w:val="24"/>
              </w:rPr>
              <w:t>)</w:t>
            </w:r>
          </w:p>
        </w:tc>
      </w:tr>
    </w:tbl>
    <w:p w14:paraId="577B29BB" w14:textId="77777777" w:rsidR="00DF6653" w:rsidRPr="00596F6A" w:rsidRDefault="00DF6653">
      <w:pPr>
        <w:jc w:val="both"/>
        <w:rPr>
          <w:sz w:val="24"/>
          <w:szCs w:val="24"/>
        </w:rPr>
      </w:pPr>
    </w:p>
    <w:p w14:paraId="2AFCC7FF" w14:textId="77777777" w:rsidR="00DF6653" w:rsidRPr="00787930" w:rsidRDefault="00DF6653">
      <w:pPr>
        <w:rPr>
          <w:b/>
          <w:sz w:val="24"/>
        </w:rPr>
        <w:sectPr w:rsidR="00DF6653" w:rsidRPr="00787930" w:rsidSect="004A000D">
          <w:headerReference w:type="even" r:id="rId10"/>
          <w:headerReference w:type="default" r:id="rId11"/>
          <w:footerReference w:type="even" r:id="rId12"/>
          <w:footerReference w:type="default" r:id="rId13"/>
          <w:headerReference w:type="first" r:id="rId14"/>
          <w:footerReference w:type="first" r:id="rId15"/>
          <w:pgSz w:w="12242" w:h="15842" w:code="1"/>
          <w:pgMar w:top="1440" w:right="1440" w:bottom="1440" w:left="1440" w:header="720" w:footer="720" w:gutter="0"/>
          <w:pgNumType w:start="0"/>
          <w:cols w:space="720"/>
          <w:titlePg/>
          <w:docGrid w:linePitch="272"/>
        </w:sectPr>
      </w:pPr>
    </w:p>
    <w:p w14:paraId="3E914C0A" w14:textId="5E3F4DD1" w:rsidR="005A1E4C" w:rsidRDefault="005A1E4C" w:rsidP="00DA247E">
      <w:pPr>
        <w:tabs>
          <w:tab w:val="left" w:pos="699"/>
          <w:tab w:val="left" w:pos="1080"/>
          <w:tab w:val="left" w:pos="7257"/>
          <w:tab w:val="left" w:pos="7920"/>
          <w:tab w:val="left" w:pos="8508"/>
          <w:tab w:val="left" w:pos="9216"/>
        </w:tabs>
        <w:jc w:val="both"/>
        <w:rPr>
          <w:b/>
          <w:sz w:val="22"/>
        </w:rPr>
      </w:pPr>
    </w:p>
    <w:p w14:paraId="3D993181" w14:textId="390CEEE4" w:rsidR="00EA726F" w:rsidRDefault="00EA726F" w:rsidP="00DA247E">
      <w:pPr>
        <w:tabs>
          <w:tab w:val="left" w:pos="699"/>
          <w:tab w:val="left" w:pos="1080"/>
          <w:tab w:val="left" w:pos="7257"/>
          <w:tab w:val="left" w:pos="7920"/>
          <w:tab w:val="left" w:pos="8508"/>
          <w:tab w:val="left" w:pos="9216"/>
        </w:tabs>
        <w:jc w:val="both"/>
        <w:rPr>
          <w:b/>
          <w:sz w:val="22"/>
        </w:rPr>
      </w:pPr>
    </w:p>
    <w:p w14:paraId="502293C8" w14:textId="77777777" w:rsidR="00EA726F" w:rsidRDefault="00EA726F" w:rsidP="00EA726F">
      <w:pPr>
        <w:rPr>
          <w:b/>
          <w:sz w:val="22"/>
          <w:szCs w:val="22"/>
        </w:rPr>
      </w:pPr>
    </w:p>
    <w:p w14:paraId="04CD7EA6"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r w:rsidRPr="00D903B4">
        <w:rPr>
          <w:noProof/>
          <w:sz w:val="22"/>
        </w:rPr>
        <mc:AlternateContent>
          <mc:Choice Requires="wps">
            <w:drawing>
              <wp:anchor distT="91440" distB="91440" distL="114300" distR="114300" simplePos="0" relativeHeight="251660288" behindDoc="0" locked="0" layoutInCell="1" allowOverlap="1" wp14:anchorId="2D0C93F4" wp14:editId="5694D12E">
                <wp:simplePos x="0" y="0"/>
                <wp:positionH relativeFrom="page">
                  <wp:posOffset>776605</wp:posOffset>
                </wp:positionH>
                <wp:positionV relativeFrom="paragraph">
                  <wp:posOffset>294005</wp:posOffset>
                </wp:positionV>
                <wp:extent cx="6285865" cy="962660"/>
                <wp:effectExtent l="0" t="4445" r="0"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C93F4" id="_x0000_t202" coordsize="21600,21600" o:spt="202" path="m,l,21600r21600,l21600,xe">
                <v:stroke joinstyle="miter"/>
                <v:path gradientshapeok="t" o:connecttype="rect"/>
              </v:shapetype>
              <v:shape id="Text Box 8" o:spid="_x0000_s1026" type="#_x0000_t202" style="position:absolute;left:0;text-align:left;margin-left:61.15pt;margin-top:23.15pt;width:494.95pt;height:75.8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v:textbox>
                <w10:wrap type="topAndBottom" anchorx="page"/>
              </v:shape>
            </w:pict>
          </mc:Fallback>
        </mc:AlternateContent>
      </w:r>
      <w:r w:rsidRPr="00D903B4">
        <w:rPr>
          <w:b/>
          <w:sz w:val="22"/>
        </w:rPr>
        <w:t>Impact on the sector:</w:t>
      </w:r>
    </w:p>
    <w:p w14:paraId="5A804ACB"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p>
    <w:p w14:paraId="06C23932" w14:textId="77777777" w:rsidR="00D10E88" w:rsidRPr="00D903B4" w:rsidRDefault="00D10E88" w:rsidP="00D10E88">
      <w:pPr>
        <w:rPr>
          <w:b/>
          <w:sz w:val="24"/>
        </w:rPr>
      </w:pPr>
      <w:r w:rsidRPr="00D903B4">
        <w:rPr>
          <w:b/>
          <w:noProof/>
          <w:sz w:val="22"/>
        </w:rPr>
        <mc:AlternateContent>
          <mc:Choice Requires="wps">
            <w:drawing>
              <wp:anchor distT="91440" distB="91440" distL="114300" distR="114300" simplePos="0" relativeHeight="251661312" behindDoc="0" locked="0" layoutInCell="1" allowOverlap="1" wp14:anchorId="2629ADE0" wp14:editId="28002DE3">
                <wp:simplePos x="0" y="0"/>
                <wp:positionH relativeFrom="page">
                  <wp:posOffset>797560</wp:posOffset>
                </wp:positionH>
                <wp:positionV relativeFrom="paragraph">
                  <wp:posOffset>272415</wp:posOffset>
                </wp:positionV>
                <wp:extent cx="6285865" cy="125476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0455" w14:textId="1DA58601" w:rsidR="00D10E88" w:rsidRPr="005962C2" w:rsidRDefault="00D10E88" w:rsidP="00D10E88">
                            <w:pPr>
                              <w:pBdr>
                                <w:top w:val="single" w:sz="24" w:space="8" w:color="5B9BD5"/>
                                <w:bottom w:val="single" w:sz="24" w:space="8" w:color="5B9BD5"/>
                              </w:pBdr>
                              <w:jc w:val="both"/>
                              <w:rPr>
                                <w:iCs/>
                                <w:sz w:val="22"/>
                                <w:szCs w:val="22"/>
                              </w:rPr>
                            </w:pPr>
                            <w:r>
                              <w:rPr>
                                <w:iCs/>
                                <w:sz w:val="22"/>
                                <w:szCs w:val="22"/>
                              </w:rPr>
                              <w:t xml:space="preserve">This document contains a preliminary proposal from the United States for WRC-23 agenda item </w:t>
                            </w:r>
                            <w:r w:rsidR="00773D11">
                              <w:rPr>
                                <w:iCs/>
                                <w:sz w:val="22"/>
                                <w:szCs w:val="22"/>
                              </w:rPr>
                              <w:t>1.</w:t>
                            </w:r>
                            <w:r w:rsidR="0081652C">
                              <w:rPr>
                                <w:iCs/>
                                <w:sz w:val="22"/>
                                <w:szCs w:val="2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9ADE0" id="Text Box 2" o:spid="_x0000_s1027" type="#_x0000_t202" style="position:absolute;margin-left:62.8pt;margin-top:21.45pt;width:494.95pt;height:98.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" filled="f" stroked="f">
                <v:textbox>
                  <w:txbxContent>
                    <w:p w14:paraId="1A0E0455" w14:textId="1DA58601" w:rsidR="00D10E88" w:rsidRPr="005962C2" w:rsidRDefault="00D10E88" w:rsidP="00D10E88">
                      <w:pPr>
                        <w:pBdr>
                          <w:top w:val="single" w:sz="24" w:space="8" w:color="5B9BD5"/>
                          <w:bottom w:val="single" w:sz="24" w:space="8" w:color="5B9BD5"/>
                        </w:pBdr>
                        <w:jc w:val="both"/>
                        <w:rPr>
                          <w:iCs/>
                          <w:sz w:val="22"/>
                          <w:szCs w:val="22"/>
                        </w:rPr>
                      </w:pPr>
                      <w:r>
                        <w:rPr>
                          <w:iCs/>
                          <w:sz w:val="22"/>
                          <w:szCs w:val="22"/>
                        </w:rPr>
                        <w:t xml:space="preserve">This document contains a preliminary proposal from the United States for WRC-23 agenda item </w:t>
                      </w:r>
                      <w:r w:rsidR="00773D11">
                        <w:rPr>
                          <w:iCs/>
                          <w:sz w:val="22"/>
                          <w:szCs w:val="22"/>
                        </w:rPr>
                        <w:t>1.</w:t>
                      </w:r>
                      <w:r w:rsidR="0081652C">
                        <w:rPr>
                          <w:iCs/>
                          <w:sz w:val="22"/>
                          <w:szCs w:val="22"/>
                        </w:rPr>
                        <w:t>5.</w:t>
                      </w:r>
                    </w:p>
                  </w:txbxContent>
                </v:textbox>
                <w10:wrap type="topAndBottom" anchorx="page"/>
              </v:shape>
            </w:pict>
          </mc:Fallback>
        </mc:AlternateContent>
      </w:r>
      <w:r w:rsidRPr="00D903B4">
        <w:rPr>
          <w:b/>
          <w:sz w:val="22"/>
        </w:rPr>
        <w:t xml:space="preserve">Executive Summary: </w:t>
      </w:r>
    </w:p>
    <w:p w14:paraId="6418F8C5" w14:textId="77777777" w:rsidR="00D10E88" w:rsidRPr="00D903B4" w:rsidRDefault="00D10E88" w:rsidP="00D10E88">
      <w:pPr>
        <w:tabs>
          <w:tab w:val="left" w:pos="5497"/>
        </w:tabs>
        <w:rPr>
          <w:b/>
          <w:bCs/>
          <w:sz w:val="24"/>
          <w:szCs w:val="24"/>
        </w:rPr>
      </w:pPr>
    </w:p>
    <w:p w14:paraId="78B3F610" w14:textId="5B1C7467" w:rsidR="00E86A95" w:rsidRPr="00241F6B" w:rsidRDefault="00E86A95" w:rsidP="00EA726F">
      <w:pPr>
        <w:rPr>
          <w:sz w:val="22"/>
          <w:szCs w:val="22"/>
        </w:rPr>
      </w:pPr>
    </w:p>
    <w:p w14:paraId="6DAA73B3" w14:textId="63960D0F" w:rsidR="00E86A95" w:rsidRPr="00241F6B" w:rsidRDefault="00E86A95" w:rsidP="00EA726F">
      <w:pPr>
        <w:rPr>
          <w:sz w:val="22"/>
          <w:szCs w:val="22"/>
        </w:rPr>
      </w:pPr>
    </w:p>
    <w:p w14:paraId="61A29C11" w14:textId="211F8AEA" w:rsidR="00E86A95" w:rsidRPr="00241F6B" w:rsidRDefault="00E86A95" w:rsidP="00EA726F">
      <w:pPr>
        <w:rPr>
          <w:sz w:val="22"/>
          <w:szCs w:val="22"/>
        </w:rPr>
      </w:pPr>
    </w:p>
    <w:p w14:paraId="52210248" w14:textId="28E5D39A" w:rsidR="00E86A95" w:rsidRPr="00241F6B" w:rsidRDefault="00E86A95" w:rsidP="00EA726F">
      <w:pPr>
        <w:rPr>
          <w:sz w:val="22"/>
          <w:szCs w:val="22"/>
        </w:rPr>
      </w:pPr>
    </w:p>
    <w:p w14:paraId="13F384FA" w14:textId="0750F88D" w:rsidR="00E86A95" w:rsidRPr="00241F6B" w:rsidRDefault="00E86A95" w:rsidP="00EA726F">
      <w:pPr>
        <w:rPr>
          <w:sz w:val="22"/>
          <w:szCs w:val="22"/>
        </w:rPr>
      </w:pPr>
    </w:p>
    <w:p w14:paraId="485BDDB6" w14:textId="5831378F" w:rsidR="00E86A95" w:rsidRDefault="00E86A95" w:rsidP="00EA726F">
      <w:pPr>
        <w:rPr>
          <w:sz w:val="22"/>
          <w:szCs w:val="22"/>
        </w:rPr>
      </w:pPr>
    </w:p>
    <w:p w14:paraId="281636BA" w14:textId="77777777" w:rsidR="004C6EFB" w:rsidRPr="004C6EFB" w:rsidRDefault="004C6EFB" w:rsidP="004C6EFB">
      <w:pPr>
        <w:pStyle w:val="Normalaftertitle"/>
        <w:spacing w:before="240"/>
        <w:jc w:val="center"/>
        <w:rPr>
          <w:b/>
          <w:bCs/>
          <w:szCs w:val="24"/>
        </w:rPr>
      </w:pPr>
      <w:r w:rsidRPr="004C6EFB">
        <w:rPr>
          <w:b/>
          <w:bCs/>
          <w:szCs w:val="24"/>
        </w:rPr>
        <w:t>UNITED STATES OF AMERICA</w:t>
      </w:r>
    </w:p>
    <w:p w14:paraId="17996697" w14:textId="294B1B41" w:rsidR="004C6EFB" w:rsidRDefault="004C6EFB" w:rsidP="004C6EFB">
      <w:pPr>
        <w:pStyle w:val="Normalaftertitle"/>
        <w:spacing w:before="240"/>
        <w:jc w:val="center"/>
        <w:rPr>
          <w:b/>
          <w:bCs/>
          <w:szCs w:val="24"/>
        </w:rPr>
      </w:pPr>
      <w:r w:rsidRPr="004C6EFB">
        <w:rPr>
          <w:b/>
          <w:bCs/>
          <w:szCs w:val="24"/>
        </w:rPr>
        <w:t>DRAFT PROPOSALS FOR THE WORK OF THE CONFERENCE</w:t>
      </w:r>
    </w:p>
    <w:p w14:paraId="01EA2830" w14:textId="77777777" w:rsidR="004C6EFB" w:rsidRDefault="004C6EFB" w:rsidP="004C6EFB">
      <w:pPr>
        <w:pStyle w:val="Normalaftertitle"/>
        <w:spacing w:before="240"/>
        <w:rPr>
          <w:b/>
          <w:bCs/>
          <w:szCs w:val="24"/>
        </w:rPr>
      </w:pPr>
    </w:p>
    <w:p w14:paraId="1270945C" w14:textId="77777777" w:rsidR="0081652C" w:rsidRPr="00BD24D0" w:rsidRDefault="0081652C" w:rsidP="0081652C">
      <w:pPr>
        <w:rPr>
          <w:szCs w:val="24"/>
        </w:rPr>
      </w:pPr>
    </w:p>
    <w:p w14:paraId="51440380" w14:textId="48A4439D" w:rsidR="0081652C" w:rsidRPr="0081652C" w:rsidRDefault="0081652C" w:rsidP="0081652C">
      <w:pPr>
        <w:spacing w:after="120"/>
        <w:rPr>
          <w:szCs w:val="22"/>
        </w:rPr>
      </w:pPr>
      <w:r w:rsidRPr="00B94D4B">
        <w:rPr>
          <w:b/>
          <w:szCs w:val="22"/>
        </w:rPr>
        <w:t>Agenda Item 1.5:</w:t>
      </w:r>
      <w:r w:rsidRPr="00B94D4B">
        <w:rPr>
          <w:szCs w:val="22"/>
        </w:rPr>
        <w:t xml:space="preserve"> </w:t>
      </w:r>
      <w:r w:rsidRPr="00B94D4B">
        <w:rPr>
          <w:i/>
          <w:szCs w:val="22"/>
        </w:rPr>
        <w:t xml:space="preserve">to review the spectrum use and spectrum needs of existing services in the frequency band 470-960 MHz in Region 1 and consider possible regulatory actions in the frequency band 470-694 MHz in Region 1 on the basis of the review in accordance with Resolution </w:t>
      </w:r>
      <w:r w:rsidRPr="00B94D4B">
        <w:rPr>
          <w:b/>
          <w:i/>
          <w:szCs w:val="22"/>
        </w:rPr>
        <w:t>235 (WRC-15)</w:t>
      </w:r>
      <w:r w:rsidRPr="00B94D4B">
        <w:rPr>
          <w:i/>
          <w:szCs w:val="22"/>
        </w:rPr>
        <w:t>;</w:t>
      </w:r>
    </w:p>
    <w:p w14:paraId="39473572" w14:textId="77777777" w:rsidR="0081652C" w:rsidRPr="00B94D4B" w:rsidRDefault="0081652C" w:rsidP="0081652C">
      <w:pPr>
        <w:widowControl w:val="0"/>
        <w:spacing w:after="120" w:line="244" w:lineRule="auto"/>
        <w:ind w:right="120"/>
        <w:jc w:val="both"/>
        <w:rPr>
          <w:b/>
          <w:szCs w:val="22"/>
        </w:rPr>
      </w:pPr>
      <w:r w:rsidRPr="00B94D4B">
        <w:rPr>
          <w:b/>
          <w:szCs w:val="22"/>
        </w:rPr>
        <w:t>Background</w:t>
      </w:r>
    </w:p>
    <w:p w14:paraId="7BDA181F" w14:textId="77777777" w:rsidR="0081652C" w:rsidRPr="00B94D4B" w:rsidRDefault="0081652C" w:rsidP="0081652C">
      <w:pPr>
        <w:spacing w:after="120"/>
        <w:rPr>
          <w:szCs w:val="22"/>
        </w:rPr>
      </w:pPr>
      <w:r w:rsidRPr="00B94D4B">
        <w:rPr>
          <w:szCs w:val="22"/>
        </w:rPr>
        <w:t xml:space="preserve">Mobile broadband access has become a key driver of global economic growth, job creation and competitiveness and the COVID-19 pandemic has reinforced the critical importance of wireless connectivity in keeping citizens connected.  The spectrum below 1 GHz is exceptionally suited for mobile broadband applications.  In particular, the unique propagation characteristics of the bands below 1 GHz allow for in-building penetration and wider area coverage which in turn requires less infrastructure and facilitates service delivery to rural or sparsely populated areas. </w:t>
      </w:r>
    </w:p>
    <w:p w14:paraId="78DC68ED" w14:textId="77777777" w:rsidR="0081652C" w:rsidRPr="00B94D4B" w:rsidRDefault="0081652C" w:rsidP="0081652C">
      <w:pPr>
        <w:spacing w:after="120"/>
        <w:rPr>
          <w:iCs/>
          <w:szCs w:val="22"/>
        </w:rPr>
      </w:pPr>
      <w:r w:rsidRPr="00B94D4B">
        <w:rPr>
          <w:szCs w:val="22"/>
        </w:rPr>
        <w:t xml:space="preserve">World Radiocommunication Conference 2023 (WRC-23) agenda item 1.5 addresses </w:t>
      </w:r>
      <w:r w:rsidRPr="00B94D4B">
        <w:rPr>
          <w:iCs/>
          <w:szCs w:val="22"/>
        </w:rPr>
        <w:t xml:space="preserve">the spectrum use and spectrum needs of existing services in the frequency band 470-960 MHz in Region 1 and consideration of possible regulatory actions in the frequency band 470-​694 MHz in Region 1. </w:t>
      </w:r>
    </w:p>
    <w:p w14:paraId="3AB23C1E" w14:textId="77777777" w:rsidR="0081652C" w:rsidRPr="00B94D4B" w:rsidRDefault="0081652C" w:rsidP="0081652C">
      <w:pPr>
        <w:spacing w:after="120"/>
        <w:rPr>
          <w:color w:val="242424"/>
          <w:szCs w:val="22"/>
          <w:shd w:val="clear" w:color="auto" w:fill="FFFFFF"/>
        </w:rPr>
      </w:pPr>
      <w:r w:rsidRPr="00B94D4B">
        <w:rPr>
          <w:szCs w:val="22"/>
        </w:rPr>
        <w:t xml:space="preserve">Part of this band was studied under agenda item 1.1 of WRC-15 and resulted in new mobile allocations and identifications for IMT in portions of the frequency range for some administrations in Regions 2 and 3. </w:t>
      </w:r>
      <w:r w:rsidRPr="00B94D4B">
        <w:rPr>
          <w:iCs/>
          <w:szCs w:val="22"/>
        </w:rPr>
        <w:t xml:space="preserve"> </w:t>
      </w:r>
    </w:p>
    <w:p w14:paraId="62B913A7" w14:textId="77777777" w:rsidR="0081652C" w:rsidRPr="00B94D4B" w:rsidRDefault="0081652C" w:rsidP="0081652C">
      <w:pPr>
        <w:spacing w:after="120"/>
        <w:rPr>
          <w:iCs/>
          <w:szCs w:val="22"/>
        </w:rPr>
      </w:pPr>
      <w:r w:rsidRPr="00B94D4B">
        <w:rPr>
          <w:iCs/>
          <w:szCs w:val="22"/>
        </w:rPr>
        <w:t xml:space="preserve">Since then, 3GPP has specified Band 71 (the range 663 – 698 MHz / 617 – 652 MHz) as an operating band for 5G NR and equipment is already available for that band.  The United States made that band available for mobile broadband licensees through a successful incentive auction which concluded in April 2017.  Mexico successfully cleared the band in October 2018, thereby releasing the 600 MHz band for mobile broadband use.  In April 2019, Canada concluded its 600 MHz auction.  The momentum is growing for the 614-698 MHz and 698-790 MHz bands; as of WRC-19, a total of 8 countries in Region 2 and 7 in Region 3 have IMT identifications including these bands, with 28 countries in Region 3 have IMT identifications in the 698-790 MHz band.  Internationally harmonized bands benefit consumers, through economies of scale in infrastructure, devices, chipsets, etc., thereby reducing network deployment and consumer costs while simultaneously enabling global roaming.  </w:t>
      </w:r>
    </w:p>
    <w:p w14:paraId="7133D5D1" w14:textId="5BD2202A" w:rsidR="0081652C" w:rsidRPr="00B94D4B" w:rsidRDefault="0081652C" w:rsidP="0081652C">
      <w:pPr>
        <w:spacing w:after="120"/>
        <w:rPr>
          <w:szCs w:val="22"/>
        </w:rPr>
      </w:pPr>
      <w:r>
        <w:rPr>
          <w:szCs w:val="22"/>
        </w:rPr>
        <w:t>C</w:t>
      </w:r>
      <w:r w:rsidRPr="00B94D4B">
        <w:rPr>
          <w:szCs w:val="22"/>
        </w:rPr>
        <w:t>ountries are encouraged to support further global harmonization of the 470-694 MHz frequency band for mobile services, including an identification for IMT.  Such a regulatory solution would:</w:t>
      </w:r>
    </w:p>
    <w:p w14:paraId="6C9E9F32" w14:textId="77777777" w:rsidR="0081652C" w:rsidRPr="00B94D4B" w:rsidRDefault="0081652C" w:rsidP="0081652C">
      <w:pPr>
        <w:numPr>
          <w:ilvl w:val="0"/>
          <w:numId w:val="10"/>
        </w:numPr>
        <w:tabs>
          <w:tab w:val="left" w:pos="1134"/>
          <w:tab w:val="left" w:pos="1871"/>
          <w:tab w:val="left" w:pos="2268"/>
        </w:tabs>
        <w:overflowPunct w:val="0"/>
        <w:autoSpaceDE w:val="0"/>
        <w:autoSpaceDN w:val="0"/>
        <w:adjustRightInd w:val="0"/>
        <w:spacing w:before="120" w:after="120"/>
        <w:textAlignment w:val="baseline"/>
        <w:rPr>
          <w:szCs w:val="22"/>
        </w:rPr>
      </w:pPr>
      <w:r w:rsidRPr="00B94D4B">
        <w:rPr>
          <w:szCs w:val="22"/>
        </w:rPr>
        <w:t>Enable administrations to preserve and protect broadcasting and other services in the UHF range,</w:t>
      </w:r>
    </w:p>
    <w:p w14:paraId="1C4E2D23" w14:textId="77777777" w:rsidR="0081652C" w:rsidRPr="00B94D4B" w:rsidRDefault="0081652C" w:rsidP="0081652C">
      <w:pPr>
        <w:numPr>
          <w:ilvl w:val="0"/>
          <w:numId w:val="10"/>
        </w:numPr>
        <w:tabs>
          <w:tab w:val="left" w:pos="1134"/>
          <w:tab w:val="left" w:pos="1871"/>
          <w:tab w:val="left" w:pos="2268"/>
        </w:tabs>
        <w:overflowPunct w:val="0"/>
        <w:autoSpaceDE w:val="0"/>
        <w:autoSpaceDN w:val="0"/>
        <w:adjustRightInd w:val="0"/>
        <w:spacing w:before="120" w:after="120"/>
        <w:textAlignment w:val="baseline"/>
        <w:rPr>
          <w:szCs w:val="22"/>
        </w:rPr>
      </w:pPr>
      <w:r w:rsidRPr="00B94D4B">
        <w:rPr>
          <w:szCs w:val="22"/>
        </w:rPr>
        <w:t xml:space="preserve">Consider ways to facilitate the development of future broadcasting systems, and </w:t>
      </w:r>
    </w:p>
    <w:p w14:paraId="7E2667CF" w14:textId="77777777" w:rsidR="0081652C" w:rsidRPr="00B94D4B" w:rsidRDefault="0081652C" w:rsidP="0081652C">
      <w:pPr>
        <w:numPr>
          <w:ilvl w:val="0"/>
          <w:numId w:val="10"/>
        </w:numPr>
        <w:tabs>
          <w:tab w:val="left" w:pos="1134"/>
          <w:tab w:val="left" w:pos="1871"/>
          <w:tab w:val="left" w:pos="2268"/>
        </w:tabs>
        <w:overflowPunct w:val="0"/>
        <w:autoSpaceDE w:val="0"/>
        <w:autoSpaceDN w:val="0"/>
        <w:adjustRightInd w:val="0"/>
        <w:spacing w:before="120" w:after="120"/>
        <w:textAlignment w:val="baseline"/>
        <w:rPr>
          <w:szCs w:val="22"/>
        </w:rPr>
      </w:pPr>
      <w:r w:rsidRPr="00B94D4B">
        <w:rPr>
          <w:szCs w:val="22"/>
        </w:rPr>
        <w:t>Allow administrations flexibility to address the mobile spectrum shortage consistent with their domestic requirements.</w:t>
      </w:r>
    </w:p>
    <w:p w14:paraId="22697713" w14:textId="77777777" w:rsidR="0081652C" w:rsidRPr="00B94D4B" w:rsidRDefault="0081652C" w:rsidP="0081652C">
      <w:pPr>
        <w:spacing w:after="120"/>
        <w:jc w:val="both"/>
        <w:rPr>
          <w:szCs w:val="22"/>
        </w:rPr>
      </w:pPr>
    </w:p>
    <w:p w14:paraId="4309C594" w14:textId="68FDC9E8" w:rsidR="0081652C" w:rsidRPr="00B94D4B" w:rsidRDefault="0081652C" w:rsidP="0081652C">
      <w:pPr>
        <w:spacing w:after="120"/>
        <w:jc w:val="both"/>
        <w:rPr>
          <w:color w:val="242424"/>
          <w:szCs w:val="22"/>
          <w:shd w:val="clear" w:color="auto" w:fill="FFFFFF"/>
        </w:rPr>
      </w:pPr>
      <w:r w:rsidRPr="00B94D4B">
        <w:rPr>
          <w:color w:val="242424"/>
          <w:szCs w:val="22"/>
          <w:shd w:val="clear" w:color="auto" w:fill="FFFFFF"/>
        </w:rPr>
        <w:t>The United States</w:t>
      </w:r>
      <w:r w:rsidR="0054175B">
        <w:rPr>
          <w:color w:val="242424"/>
          <w:szCs w:val="22"/>
          <w:shd w:val="clear" w:color="auto" w:fill="FFFFFF"/>
        </w:rPr>
        <w:t xml:space="preserve"> supports advancing the harmonization of the 470-698 MHz frequency band for IMT and</w:t>
      </w:r>
      <w:r w:rsidRPr="00B94D4B">
        <w:rPr>
          <w:color w:val="242424"/>
          <w:szCs w:val="22"/>
          <w:shd w:val="clear" w:color="auto" w:fill="FFFFFF"/>
        </w:rPr>
        <w:t xml:space="preserve"> is of the view that decision on WRC-23 agenda item 1.5 </w:t>
      </w:r>
      <w:r>
        <w:rPr>
          <w:color w:val="242424"/>
          <w:szCs w:val="22"/>
          <w:shd w:val="clear" w:color="auto" w:fill="FFFFFF"/>
        </w:rPr>
        <w:t>w</w:t>
      </w:r>
      <w:r w:rsidRPr="00B94D4B">
        <w:rPr>
          <w:color w:val="242424"/>
          <w:szCs w:val="22"/>
          <w:shd w:val="clear" w:color="auto" w:fill="FFFFFF"/>
        </w:rPr>
        <w:t xml:space="preserve">ould not preclude Region 2 administrations from </w:t>
      </w:r>
      <w:r w:rsidR="0054175B">
        <w:rPr>
          <w:color w:val="242424"/>
          <w:szCs w:val="22"/>
          <w:shd w:val="clear" w:color="auto" w:fill="FFFFFF"/>
        </w:rPr>
        <w:t xml:space="preserve">harmonizing this frequency band </w:t>
      </w:r>
      <w:r w:rsidRPr="00B94D4B">
        <w:rPr>
          <w:color w:val="242424"/>
          <w:szCs w:val="22"/>
          <w:shd w:val="clear" w:color="auto" w:fill="FFFFFF"/>
        </w:rPr>
        <w:t>to</w:t>
      </w:r>
      <w:r w:rsidRPr="00B94D4B">
        <w:rPr>
          <w:szCs w:val="22"/>
        </w:rPr>
        <w:t xml:space="preserve"> </w:t>
      </w:r>
      <w:r w:rsidRPr="00B94D4B">
        <w:rPr>
          <w:color w:val="000000"/>
          <w:szCs w:val="22"/>
        </w:rPr>
        <w:t>enable the introduction of wireless broadband services</w:t>
      </w:r>
      <w:r w:rsidR="0054175B">
        <w:rPr>
          <w:color w:val="000000"/>
          <w:szCs w:val="22"/>
        </w:rPr>
        <w:t xml:space="preserve"> in their respective countries</w:t>
      </w:r>
      <w:r w:rsidRPr="00B94D4B">
        <w:rPr>
          <w:color w:val="000000"/>
          <w:szCs w:val="22"/>
        </w:rPr>
        <w:t>.</w:t>
      </w:r>
    </w:p>
    <w:p w14:paraId="68EDA903" w14:textId="77777777" w:rsidR="0081652C" w:rsidRPr="00BD24D0" w:rsidRDefault="0081652C" w:rsidP="0081652C">
      <w:pPr>
        <w:spacing w:after="120"/>
        <w:rPr>
          <w:b/>
          <w:bCs/>
          <w:sz w:val="24"/>
          <w:szCs w:val="24"/>
        </w:rPr>
      </w:pPr>
    </w:p>
    <w:p w14:paraId="71A430FF" w14:textId="77777777" w:rsidR="0081652C" w:rsidRDefault="0081652C" w:rsidP="0081652C">
      <w:pPr>
        <w:widowControl w:val="0"/>
        <w:spacing w:after="120"/>
        <w:rPr>
          <w:b/>
          <w:bCs/>
          <w:sz w:val="24"/>
          <w:szCs w:val="24"/>
        </w:rPr>
      </w:pPr>
    </w:p>
    <w:p w14:paraId="576D6021" w14:textId="77777777" w:rsidR="0081652C" w:rsidRDefault="0081652C" w:rsidP="0081652C">
      <w:pPr>
        <w:widowControl w:val="0"/>
        <w:spacing w:after="120"/>
        <w:rPr>
          <w:b/>
          <w:bCs/>
          <w:sz w:val="24"/>
          <w:szCs w:val="24"/>
        </w:rPr>
      </w:pPr>
    </w:p>
    <w:p w14:paraId="0079C7AA" w14:textId="42F8A20B" w:rsidR="0081652C" w:rsidRPr="00BD24D0" w:rsidRDefault="0081652C" w:rsidP="0081652C">
      <w:pPr>
        <w:widowControl w:val="0"/>
        <w:spacing w:after="120"/>
        <w:rPr>
          <w:sz w:val="24"/>
          <w:szCs w:val="24"/>
        </w:rPr>
      </w:pPr>
      <w:r w:rsidRPr="00BD24D0">
        <w:rPr>
          <w:b/>
          <w:bCs/>
          <w:sz w:val="24"/>
          <w:szCs w:val="24"/>
        </w:rPr>
        <w:lastRenderedPageBreak/>
        <w:t>Proposal</w:t>
      </w:r>
      <w:r w:rsidRPr="00BD24D0">
        <w:rPr>
          <w:sz w:val="24"/>
          <w:szCs w:val="24"/>
        </w:rPr>
        <w:t>:</w:t>
      </w:r>
    </w:p>
    <w:p w14:paraId="5AED63A1" w14:textId="77777777" w:rsidR="0081652C" w:rsidRPr="00BD24D0" w:rsidRDefault="0081652C" w:rsidP="0081652C">
      <w:pPr>
        <w:widowControl w:val="0"/>
        <w:spacing w:after="120" w:line="200" w:lineRule="exact"/>
      </w:pPr>
    </w:p>
    <w:p w14:paraId="6013EB08" w14:textId="77777777" w:rsidR="0081652C" w:rsidRPr="00BD24D0" w:rsidRDefault="0081652C" w:rsidP="0081652C">
      <w:pPr>
        <w:jc w:val="both"/>
        <w:rPr>
          <w:sz w:val="24"/>
          <w:szCs w:val="24"/>
        </w:rPr>
      </w:pPr>
      <w:r w:rsidRPr="0054175B">
        <w:rPr>
          <w:b/>
          <w:bCs/>
          <w:sz w:val="24"/>
          <w:szCs w:val="24"/>
          <w:u w:val="single"/>
        </w:rPr>
        <w:t>NOC</w:t>
      </w:r>
      <w:r w:rsidRPr="00BD24D0">
        <w:rPr>
          <w:b/>
          <w:bCs/>
          <w:sz w:val="24"/>
          <w:szCs w:val="24"/>
        </w:rPr>
        <w:t xml:space="preserve"> (for Region 2) USA/1.5/1</w:t>
      </w:r>
    </w:p>
    <w:p w14:paraId="772C8B83" w14:textId="77777777" w:rsidR="0081652C" w:rsidRPr="00BD24D0" w:rsidRDefault="0081652C" w:rsidP="0081652C">
      <w:pPr>
        <w:widowControl w:val="0"/>
        <w:rPr>
          <w:sz w:val="24"/>
          <w:szCs w:val="24"/>
        </w:rPr>
      </w:pPr>
    </w:p>
    <w:p w14:paraId="02F1193A" w14:textId="77777777" w:rsidR="0081652C" w:rsidRPr="00B94D4B" w:rsidRDefault="0081652C" w:rsidP="0081652C">
      <w:pPr>
        <w:keepNext/>
        <w:keepLines/>
        <w:spacing w:after="120"/>
        <w:jc w:val="center"/>
        <w:rPr>
          <w:b/>
          <w:szCs w:val="22"/>
        </w:rPr>
      </w:pPr>
      <w:r w:rsidRPr="00B94D4B">
        <w:rPr>
          <w:b/>
          <w:szCs w:val="22"/>
        </w:rPr>
        <w:t>460-890 MHz</w:t>
      </w:r>
    </w:p>
    <w:tbl>
      <w:tblPr>
        <w:tblW w:w="3101" w:type="dxa"/>
        <w:jc w:val="center"/>
        <w:tblLayout w:type="fixed"/>
        <w:tblCellMar>
          <w:left w:w="107" w:type="dxa"/>
          <w:right w:w="107" w:type="dxa"/>
        </w:tblCellMar>
        <w:tblLook w:val="0000" w:firstRow="0" w:lastRow="0" w:firstColumn="0" w:lastColumn="0" w:noHBand="0" w:noVBand="0"/>
      </w:tblPr>
      <w:tblGrid>
        <w:gridCol w:w="3101"/>
      </w:tblGrid>
      <w:tr w:rsidR="0081652C" w:rsidRPr="00B94D4B" w14:paraId="1710240D" w14:textId="77777777" w:rsidTr="002C5A94">
        <w:trPr>
          <w:cantSplit/>
          <w:jc w:val="center"/>
        </w:trPr>
        <w:tc>
          <w:tcPr>
            <w:tcW w:w="3101" w:type="dxa"/>
            <w:tcBorders>
              <w:top w:val="single" w:sz="6" w:space="0" w:color="auto"/>
              <w:left w:val="single" w:sz="6" w:space="0" w:color="auto"/>
              <w:bottom w:val="single" w:sz="6" w:space="0" w:color="auto"/>
              <w:right w:val="single" w:sz="6" w:space="0" w:color="auto"/>
            </w:tcBorders>
          </w:tcPr>
          <w:p w14:paraId="76618AA0" w14:textId="77777777" w:rsidR="0081652C" w:rsidRPr="00B94D4B" w:rsidRDefault="0081652C" w:rsidP="002C5A94">
            <w:pPr>
              <w:keepNext/>
              <w:spacing w:before="80" w:after="80"/>
              <w:jc w:val="center"/>
              <w:rPr>
                <w:b/>
                <w:szCs w:val="22"/>
              </w:rPr>
            </w:pPr>
            <w:r w:rsidRPr="00B94D4B">
              <w:rPr>
                <w:b/>
                <w:szCs w:val="22"/>
              </w:rPr>
              <w:t>Region 2</w:t>
            </w:r>
          </w:p>
        </w:tc>
      </w:tr>
      <w:tr w:rsidR="0081652C" w:rsidRPr="00B94D4B" w14:paraId="7EDAC1BB" w14:textId="77777777" w:rsidTr="002C5A94">
        <w:tblPrEx>
          <w:tblLook w:val="04A0" w:firstRow="1" w:lastRow="0" w:firstColumn="1" w:lastColumn="0" w:noHBand="0" w:noVBand="1"/>
        </w:tblPrEx>
        <w:trPr>
          <w:cantSplit/>
          <w:jc w:val="center"/>
        </w:trPr>
        <w:tc>
          <w:tcPr>
            <w:tcW w:w="3101" w:type="dxa"/>
            <w:tcBorders>
              <w:top w:val="single" w:sz="6" w:space="0" w:color="auto"/>
              <w:left w:val="single" w:sz="6" w:space="0" w:color="auto"/>
              <w:bottom w:val="single" w:sz="4" w:space="0" w:color="auto"/>
              <w:right w:val="single" w:sz="6" w:space="0" w:color="auto"/>
            </w:tcBorders>
          </w:tcPr>
          <w:p w14:paraId="6143BDF1"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b/>
                <w:szCs w:val="22"/>
              </w:rPr>
            </w:pPr>
            <w:r w:rsidRPr="00B94D4B">
              <w:rPr>
                <w:b/>
                <w:szCs w:val="22"/>
              </w:rPr>
              <w:t>---</w:t>
            </w:r>
          </w:p>
        </w:tc>
      </w:tr>
      <w:tr w:rsidR="0081652C" w:rsidRPr="00B94D4B" w14:paraId="2F24CE1D" w14:textId="77777777" w:rsidTr="002C5A94">
        <w:tblPrEx>
          <w:tblLook w:val="04A0" w:firstRow="1" w:lastRow="0" w:firstColumn="1" w:lastColumn="0" w:noHBand="0" w:noVBand="1"/>
        </w:tblPrEx>
        <w:trPr>
          <w:cantSplit/>
          <w:jc w:val="center"/>
        </w:trPr>
        <w:tc>
          <w:tcPr>
            <w:tcW w:w="3101" w:type="dxa"/>
            <w:tcBorders>
              <w:top w:val="single" w:sz="6" w:space="0" w:color="auto"/>
              <w:left w:val="single" w:sz="6" w:space="0" w:color="auto"/>
              <w:bottom w:val="single" w:sz="4" w:space="0" w:color="auto"/>
              <w:right w:val="single" w:sz="6" w:space="0" w:color="auto"/>
            </w:tcBorders>
            <w:hideMark/>
          </w:tcPr>
          <w:p w14:paraId="29471474"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b/>
                <w:szCs w:val="22"/>
              </w:rPr>
            </w:pPr>
            <w:r w:rsidRPr="00B94D4B">
              <w:rPr>
                <w:b/>
                <w:szCs w:val="22"/>
              </w:rPr>
              <w:t>470-512</w:t>
            </w:r>
          </w:p>
          <w:p w14:paraId="26E860D0"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szCs w:val="22"/>
              </w:rPr>
            </w:pPr>
            <w:r w:rsidRPr="00B94D4B">
              <w:rPr>
                <w:szCs w:val="22"/>
              </w:rPr>
              <w:t>BROADCASTING</w:t>
            </w:r>
          </w:p>
          <w:p w14:paraId="3BD6C7A8"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szCs w:val="22"/>
              </w:rPr>
            </w:pPr>
            <w:r w:rsidRPr="00B94D4B">
              <w:rPr>
                <w:szCs w:val="22"/>
              </w:rPr>
              <w:t>Fixed</w:t>
            </w:r>
          </w:p>
          <w:p w14:paraId="39B6456F"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szCs w:val="22"/>
              </w:rPr>
            </w:pPr>
            <w:r w:rsidRPr="00B94D4B">
              <w:rPr>
                <w:szCs w:val="22"/>
              </w:rPr>
              <w:t>Mobile</w:t>
            </w:r>
          </w:p>
          <w:p w14:paraId="20927F27"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szCs w:val="22"/>
              </w:rPr>
            </w:pPr>
            <w:r w:rsidRPr="00B94D4B">
              <w:rPr>
                <w:color w:val="000000"/>
                <w:szCs w:val="22"/>
              </w:rPr>
              <w:t xml:space="preserve">5.292  5.293  </w:t>
            </w:r>
            <w:r w:rsidRPr="00B94D4B">
              <w:rPr>
                <w:szCs w:val="22"/>
              </w:rPr>
              <w:t>5.295</w:t>
            </w:r>
          </w:p>
        </w:tc>
      </w:tr>
      <w:tr w:rsidR="0081652C" w:rsidRPr="00B94D4B" w14:paraId="5E8C9D62" w14:textId="77777777" w:rsidTr="002C5A94">
        <w:tblPrEx>
          <w:tblLook w:val="04A0" w:firstRow="1" w:lastRow="0" w:firstColumn="1" w:lastColumn="0" w:noHBand="0" w:noVBand="1"/>
        </w:tblPrEx>
        <w:trPr>
          <w:cantSplit/>
          <w:trHeight w:val="464"/>
          <w:jc w:val="center"/>
        </w:trPr>
        <w:tc>
          <w:tcPr>
            <w:tcW w:w="3101" w:type="dxa"/>
            <w:vMerge w:val="restart"/>
            <w:tcBorders>
              <w:top w:val="single" w:sz="4" w:space="0" w:color="auto"/>
              <w:left w:val="single" w:sz="6" w:space="0" w:color="auto"/>
              <w:bottom w:val="single" w:sz="4" w:space="0" w:color="auto"/>
              <w:right w:val="single" w:sz="6" w:space="0" w:color="auto"/>
            </w:tcBorders>
            <w:hideMark/>
          </w:tcPr>
          <w:p w14:paraId="32040B4C"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b/>
                <w:szCs w:val="22"/>
              </w:rPr>
            </w:pPr>
            <w:r w:rsidRPr="00B94D4B">
              <w:rPr>
                <w:b/>
                <w:szCs w:val="22"/>
              </w:rPr>
              <w:t>512-608</w:t>
            </w:r>
          </w:p>
          <w:p w14:paraId="60323780"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szCs w:val="22"/>
              </w:rPr>
            </w:pPr>
            <w:r w:rsidRPr="00B94D4B">
              <w:rPr>
                <w:szCs w:val="22"/>
              </w:rPr>
              <w:t>BROADCASTING</w:t>
            </w:r>
          </w:p>
          <w:p w14:paraId="018821FD"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b/>
                <w:color w:val="000000"/>
                <w:szCs w:val="22"/>
              </w:rPr>
            </w:pPr>
            <w:r w:rsidRPr="00B94D4B">
              <w:rPr>
                <w:color w:val="000000"/>
                <w:szCs w:val="22"/>
              </w:rPr>
              <w:t xml:space="preserve">5.295  5.297  </w:t>
            </w:r>
          </w:p>
        </w:tc>
      </w:tr>
      <w:tr w:rsidR="0081652C" w:rsidRPr="00B94D4B" w14:paraId="3A1272B2" w14:textId="77777777" w:rsidTr="002C5A94">
        <w:tblPrEx>
          <w:tblLook w:val="04A0" w:firstRow="1" w:lastRow="0" w:firstColumn="1" w:lastColumn="0" w:noHBand="0" w:noVBand="1"/>
        </w:tblPrEx>
        <w:trPr>
          <w:cantSplit/>
          <w:trHeight w:val="464"/>
          <w:jc w:val="center"/>
        </w:trPr>
        <w:tc>
          <w:tcPr>
            <w:tcW w:w="3101" w:type="dxa"/>
            <w:vMerge/>
            <w:tcBorders>
              <w:top w:val="single" w:sz="4" w:space="0" w:color="auto"/>
              <w:left w:val="single" w:sz="6" w:space="0" w:color="auto"/>
              <w:bottom w:val="single" w:sz="4" w:space="0" w:color="auto"/>
              <w:right w:val="single" w:sz="6" w:space="0" w:color="auto"/>
            </w:tcBorders>
            <w:vAlign w:val="center"/>
            <w:hideMark/>
          </w:tcPr>
          <w:p w14:paraId="537E9477" w14:textId="77777777" w:rsidR="0081652C" w:rsidRPr="00B94D4B" w:rsidRDefault="0081652C" w:rsidP="002C5A94">
            <w:pPr>
              <w:jc w:val="both"/>
              <w:rPr>
                <w:b/>
                <w:color w:val="000000"/>
                <w:szCs w:val="22"/>
              </w:rPr>
            </w:pPr>
          </w:p>
        </w:tc>
      </w:tr>
      <w:tr w:rsidR="0081652C" w:rsidRPr="00B94D4B" w14:paraId="6FCC498C" w14:textId="77777777" w:rsidTr="002C5A94">
        <w:tblPrEx>
          <w:tblLook w:val="04A0" w:firstRow="1" w:lastRow="0" w:firstColumn="1" w:lastColumn="0" w:noHBand="0" w:noVBand="1"/>
        </w:tblPrEx>
        <w:trPr>
          <w:cantSplit/>
          <w:trHeight w:val="464"/>
          <w:jc w:val="center"/>
        </w:trPr>
        <w:tc>
          <w:tcPr>
            <w:tcW w:w="3101" w:type="dxa"/>
            <w:vMerge w:val="restart"/>
            <w:tcBorders>
              <w:top w:val="single" w:sz="4" w:space="0" w:color="auto"/>
              <w:left w:val="single" w:sz="6" w:space="0" w:color="auto"/>
              <w:bottom w:val="single" w:sz="4" w:space="0" w:color="auto"/>
              <w:right w:val="single" w:sz="6" w:space="0" w:color="auto"/>
            </w:tcBorders>
            <w:hideMark/>
          </w:tcPr>
          <w:p w14:paraId="70C6EBDB"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b/>
                <w:szCs w:val="22"/>
              </w:rPr>
            </w:pPr>
            <w:r w:rsidRPr="00B94D4B">
              <w:rPr>
                <w:b/>
                <w:szCs w:val="22"/>
              </w:rPr>
              <w:t>608-614</w:t>
            </w:r>
          </w:p>
          <w:p w14:paraId="1A531E8E"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szCs w:val="22"/>
              </w:rPr>
            </w:pPr>
            <w:r w:rsidRPr="00B94D4B">
              <w:rPr>
                <w:szCs w:val="22"/>
              </w:rPr>
              <w:t>RADIO ASTRONOMY</w:t>
            </w:r>
          </w:p>
          <w:p w14:paraId="01C7F9F1" w14:textId="77777777" w:rsidR="0081652C" w:rsidRPr="00B94D4B" w:rsidRDefault="0081652C" w:rsidP="002C5A94">
            <w:pPr>
              <w:tabs>
                <w:tab w:val="left" w:pos="170"/>
                <w:tab w:val="left" w:pos="567"/>
                <w:tab w:val="left" w:pos="737"/>
                <w:tab w:val="left" w:pos="2977"/>
                <w:tab w:val="left" w:pos="3266"/>
              </w:tabs>
              <w:spacing w:before="40" w:after="40"/>
              <w:ind w:left="170" w:hanging="170"/>
              <w:rPr>
                <w:szCs w:val="22"/>
              </w:rPr>
            </w:pPr>
            <w:r w:rsidRPr="00B94D4B">
              <w:rPr>
                <w:szCs w:val="22"/>
              </w:rPr>
              <w:t>Mobile-satellite except</w:t>
            </w:r>
            <w:r w:rsidRPr="00B94D4B">
              <w:rPr>
                <w:szCs w:val="22"/>
              </w:rPr>
              <w:br/>
              <w:t>aeronautical mobile-satellite</w:t>
            </w:r>
            <w:r w:rsidRPr="00B94D4B">
              <w:rPr>
                <w:szCs w:val="22"/>
              </w:rPr>
              <w:br/>
              <w:t>(Earth-to-space)</w:t>
            </w:r>
          </w:p>
        </w:tc>
      </w:tr>
      <w:tr w:rsidR="0081652C" w:rsidRPr="00B94D4B" w14:paraId="0E113B3D" w14:textId="77777777" w:rsidTr="002C5A94">
        <w:tblPrEx>
          <w:tblLook w:val="04A0" w:firstRow="1" w:lastRow="0" w:firstColumn="1" w:lastColumn="0" w:noHBand="0" w:noVBand="1"/>
        </w:tblPrEx>
        <w:trPr>
          <w:cantSplit/>
          <w:trHeight w:val="464"/>
          <w:jc w:val="center"/>
        </w:trPr>
        <w:tc>
          <w:tcPr>
            <w:tcW w:w="3101" w:type="dxa"/>
            <w:vMerge/>
            <w:tcBorders>
              <w:top w:val="single" w:sz="4" w:space="0" w:color="auto"/>
              <w:left w:val="single" w:sz="6" w:space="0" w:color="auto"/>
              <w:bottom w:val="single" w:sz="4" w:space="0" w:color="auto"/>
              <w:right w:val="single" w:sz="6" w:space="0" w:color="auto"/>
            </w:tcBorders>
            <w:vAlign w:val="center"/>
            <w:hideMark/>
          </w:tcPr>
          <w:p w14:paraId="0B2E6624" w14:textId="77777777" w:rsidR="0081652C" w:rsidRPr="00B94D4B" w:rsidRDefault="0081652C" w:rsidP="002C5A94">
            <w:pPr>
              <w:jc w:val="both"/>
              <w:rPr>
                <w:szCs w:val="22"/>
              </w:rPr>
            </w:pPr>
          </w:p>
        </w:tc>
      </w:tr>
      <w:tr w:rsidR="0081652C" w:rsidRPr="00B94D4B" w14:paraId="5CFB369D" w14:textId="77777777" w:rsidTr="002C5A94">
        <w:tblPrEx>
          <w:tblLook w:val="04A0" w:firstRow="1" w:lastRow="0" w:firstColumn="1" w:lastColumn="0" w:noHBand="0" w:noVBand="1"/>
        </w:tblPrEx>
        <w:trPr>
          <w:cantSplit/>
          <w:trHeight w:val="310"/>
          <w:jc w:val="center"/>
        </w:trPr>
        <w:tc>
          <w:tcPr>
            <w:tcW w:w="3101" w:type="dxa"/>
            <w:tcBorders>
              <w:top w:val="single" w:sz="4" w:space="0" w:color="auto"/>
              <w:left w:val="single" w:sz="6" w:space="0" w:color="auto"/>
              <w:bottom w:val="single" w:sz="4" w:space="0" w:color="auto"/>
              <w:right w:val="single" w:sz="6" w:space="0" w:color="auto"/>
            </w:tcBorders>
            <w:vAlign w:val="center"/>
          </w:tcPr>
          <w:p w14:paraId="461A4390"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b/>
                <w:szCs w:val="22"/>
              </w:rPr>
            </w:pPr>
            <w:r w:rsidRPr="00B94D4B">
              <w:rPr>
                <w:b/>
                <w:szCs w:val="22"/>
              </w:rPr>
              <w:t>614-698</w:t>
            </w:r>
          </w:p>
          <w:p w14:paraId="789ED230"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szCs w:val="22"/>
              </w:rPr>
            </w:pPr>
            <w:r w:rsidRPr="00B94D4B">
              <w:rPr>
                <w:szCs w:val="22"/>
              </w:rPr>
              <w:t>BROADCASTING</w:t>
            </w:r>
          </w:p>
          <w:p w14:paraId="7FF26455"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szCs w:val="22"/>
              </w:rPr>
            </w:pPr>
            <w:r w:rsidRPr="00B94D4B">
              <w:rPr>
                <w:szCs w:val="22"/>
              </w:rPr>
              <w:t>Fixed</w:t>
            </w:r>
          </w:p>
          <w:p w14:paraId="11001C79" w14:textId="77777777" w:rsidR="0081652C" w:rsidRPr="00B94D4B" w:rsidRDefault="0081652C" w:rsidP="002C5A94">
            <w:pPr>
              <w:tabs>
                <w:tab w:val="left" w:pos="170"/>
                <w:tab w:val="left" w:pos="567"/>
                <w:tab w:val="left" w:pos="737"/>
                <w:tab w:val="left" w:pos="2977"/>
                <w:tab w:val="left" w:pos="3266"/>
              </w:tabs>
              <w:spacing w:before="40" w:after="40"/>
              <w:ind w:left="170" w:hanging="170"/>
              <w:jc w:val="both"/>
              <w:rPr>
                <w:szCs w:val="22"/>
              </w:rPr>
            </w:pPr>
            <w:r w:rsidRPr="00B94D4B">
              <w:rPr>
                <w:szCs w:val="22"/>
              </w:rPr>
              <w:t>Mobile</w:t>
            </w:r>
          </w:p>
          <w:p w14:paraId="4C5110B8" w14:textId="77777777" w:rsidR="0081652C" w:rsidRPr="00B94D4B" w:rsidRDefault="0081652C" w:rsidP="002C5A94">
            <w:pPr>
              <w:jc w:val="both"/>
              <w:rPr>
                <w:szCs w:val="22"/>
              </w:rPr>
            </w:pPr>
            <w:r w:rsidRPr="00B94D4B">
              <w:rPr>
                <w:szCs w:val="22"/>
              </w:rPr>
              <w:t xml:space="preserve">5.293  5.308  5.308A  5.309  </w:t>
            </w:r>
          </w:p>
        </w:tc>
      </w:tr>
      <w:tr w:rsidR="0081652C" w:rsidRPr="00B94D4B" w14:paraId="202DE422" w14:textId="77777777" w:rsidTr="002C5A94">
        <w:tblPrEx>
          <w:tblLook w:val="04A0" w:firstRow="1" w:lastRow="0" w:firstColumn="1" w:lastColumn="0" w:noHBand="0" w:noVBand="1"/>
        </w:tblPrEx>
        <w:trPr>
          <w:cantSplit/>
          <w:trHeight w:val="310"/>
          <w:jc w:val="center"/>
        </w:trPr>
        <w:tc>
          <w:tcPr>
            <w:tcW w:w="3101" w:type="dxa"/>
            <w:tcBorders>
              <w:top w:val="single" w:sz="4" w:space="0" w:color="auto"/>
              <w:left w:val="single" w:sz="6" w:space="0" w:color="auto"/>
              <w:bottom w:val="single" w:sz="4" w:space="0" w:color="auto"/>
              <w:right w:val="single" w:sz="6" w:space="0" w:color="auto"/>
            </w:tcBorders>
            <w:vAlign w:val="center"/>
          </w:tcPr>
          <w:p w14:paraId="2C6B01B9" w14:textId="77777777" w:rsidR="0081652C" w:rsidRPr="00B94D4B" w:rsidRDefault="0081652C" w:rsidP="002C5A94">
            <w:pPr>
              <w:jc w:val="both"/>
              <w:rPr>
                <w:szCs w:val="22"/>
              </w:rPr>
            </w:pPr>
            <w:r w:rsidRPr="00B94D4B">
              <w:rPr>
                <w:szCs w:val="22"/>
              </w:rPr>
              <w:t>---</w:t>
            </w:r>
          </w:p>
        </w:tc>
      </w:tr>
    </w:tbl>
    <w:p w14:paraId="1B95C299" w14:textId="77777777" w:rsidR="0081652C" w:rsidRPr="00B94D4B" w:rsidRDefault="0081652C" w:rsidP="0081652C">
      <w:pPr>
        <w:widowControl w:val="0"/>
        <w:tabs>
          <w:tab w:val="num" w:pos="2600"/>
        </w:tabs>
        <w:spacing w:after="120"/>
        <w:rPr>
          <w:szCs w:val="22"/>
        </w:rPr>
      </w:pPr>
    </w:p>
    <w:p w14:paraId="5B571DAE" w14:textId="77777777" w:rsidR="0081652C" w:rsidRPr="00B94D4B" w:rsidRDefault="0081652C" w:rsidP="0081652C">
      <w:pPr>
        <w:rPr>
          <w:szCs w:val="22"/>
        </w:rPr>
      </w:pPr>
      <w:r w:rsidRPr="00B94D4B">
        <w:rPr>
          <w:rFonts w:eastAsia="SimSun"/>
          <w:b/>
          <w:bCs/>
          <w:szCs w:val="22"/>
          <w:lang w:eastAsia="zh-CN"/>
        </w:rPr>
        <w:t>Reasons</w:t>
      </w:r>
      <w:r w:rsidRPr="00B94D4B">
        <w:rPr>
          <w:rFonts w:eastAsia="SimSun"/>
          <w:bCs/>
          <w:szCs w:val="22"/>
          <w:lang w:eastAsia="zh-CN"/>
        </w:rPr>
        <w:t xml:space="preserve">: </w:t>
      </w:r>
      <w:r w:rsidRPr="00B94D4B">
        <w:rPr>
          <w:rFonts w:eastAsia="SimSun"/>
          <w:szCs w:val="22"/>
          <w:lang w:eastAsia="zh-CN"/>
        </w:rPr>
        <w:t xml:space="preserve">WRC-23 Agenda Item 1.5 is limited to technical and regulatory studies for certain terrestrial services only in Region 1 </w:t>
      </w:r>
      <w:r w:rsidRPr="00B94D4B">
        <w:rPr>
          <w:szCs w:val="22"/>
        </w:rPr>
        <w:t xml:space="preserve">for the frequency band 470-960 </w:t>
      </w:r>
      <w:proofErr w:type="spellStart"/>
      <w:r w:rsidRPr="00B94D4B">
        <w:rPr>
          <w:szCs w:val="22"/>
        </w:rPr>
        <w:t>MHz</w:t>
      </w:r>
      <w:r w:rsidRPr="00B94D4B">
        <w:rPr>
          <w:rFonts w:eastAsia="SimSun"/>
          <w:szCs w:val="22"/>
          <w:lang w:eastAsia="zh-CN"/>
        </w:rPr>
        <w:t>.</w:t>
      </w:r>
      <w:proofErr w:type="spellEnd"/>
      <w:r w:rsidRPr="00B94D4B">
        <w:rPr>
          <w:rFonts w:eastAsia="SimSun"/>
          <w:szCs w:val="22"/>
          <w:lang w:eastAsia="zh-CN"/>
        </w:rPr>
        <w:t xml:space="preserve">  Therefore, </w:t>
      </w:r>
      <w:r w:rsidRPr="00B94D4B">
        <w:rPr>
          <w:rFonts w:eastAsia="SimSun"/>
          <w:bCs/>
          <w:szCs w:val="22"/>
          <w:lang w:eastAsia="zh-CN"/>
        </w:rPr>
        <w:t xml:space="preserve">no change is proposed for Region 2.  </w:t>
      </w:r>
      <w:r w:rsidRPr="00B94D4B">
        <w:rPr>
          <w:szCs w:val="22"/>
        </w:rPr>
        <w:t xml:space="preserve">Any changes made to the Radio Regulations under WRC-23 agenda item 1.5 must not impact the existing allocations and identifications for Region 2, nor subject Region 2 to any changed procedural or regulatory provisions. </w:t>
      </w:r>
      <w:r w:rsidRPr="00B94D4B">
        <w:rPr>
          <w:rFonts w:eastAsia="SimSun"/>
          <w:szCs w:val="22"/>
          <w:lang w:eastAsia="zh-CN"/>
        </w:rPr>
        <w:t>This proposal does not address Regions 1 and 3, so those columns of the Table of Frequency Allocations in Article 5 are thus not reproduced above.</w:t>
      </w:r>
    </w:p>
    <w:p w14:paraId="381A7B98" w14:textId="77777777" w:rsidR="0081652C" w:rsidRPr="000219AB" w:rsidRDefault="0081652C" w:rsidP="0081652C">
      <w:pPr>
        <w:rPr>
          <w:sz w:val="24"/>
          <w:szCs w:val="24"/>
        </w:rPr>
      </w:pPr>
    </w:p>
    <w:p w14:paraId="628E50E7" w14:textId="77777777" w:rsidR="00E86A95" w:rsidRPr="00112427" w:rsidRDefault="00E86A95" w:rsidP="00596F6A">
      <w:pPr>
        <w:jc w:val="both"/>
        <w:rPr>
          <w:sz w:val="22"/>
          <w:szCs w:val="22"/>
        </w:rPr>
      </w:pPr>
    </w:p>
    <w:p w14:paraId="14A0CB37" w14:textId="5B137C86" w:rsidR="00DF6653" w:rsidRPr="004C6EFB" w:rsidRDefault="00EA726F">
      <w:pPr>
        <w:rPr>
          <w:sz w:val="24"/>
          <w:szCs w:val="24"/>
        </w:rPr>
      </w:pPr>
      <w:r w:rsidRPr="00E80053">
        <w:rPr>
          <w:noProof/>
        </w:rPr>
        <mc:AlternateContent>
          <mc:Choice Requires="wps">
            <w:drawing>
              <wp:anchor distT="4294967295" distB="4294967295" distL="114300" distR="114300" simplePos="0" relativeHeight="251658240" behindDoc="0" locked="0" layoutInCell="1" allowOverlap="1" wp14:anchorId="2BC4750C" wp14:editId="2ACB2853">
                <wp:simplePos x="0" y="0"/>
                <wp:positionH relativeFrom="column">
                  <wp:posOffset>2743200</wp:posOffset>
                </wp:positionH>
                <wp:positionV relativeFrom="paragraph">
                  <wp:posOffset>20954</wp:posOffset>
                </wp:positionV>
                <wp:extent cx="914400" cy="0"/>
                <wp:effectExtent l="0" t="0" r="0" b="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F04081" id="Line 7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"/>
            </w:pict>
          </mc:Fallback>
        </mc:AlternateContent>
      </w:r>
    </w:p>
    <w:sectPr w:rsidR="00DF6653" w:rsidRPr="004C6EFB" w:rsidSect="00E82AC2">
      <w:headerReference w:type="default" r:id="rId16"/>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85C0" w14:textId="77777777" w:rsidR="00675B08" w:rsidRDefault="00675B08">
      <w:r>
        <w:separator/>
      </w:r>
    </w:p>
  </w:endnote>
  <w:endnote w:type="continuationSeparator" w:id="0">
    <w:p w14:paraId="6B2F9E63" w14:textId="77777777" w:rsidR="00675B08" w:rsidRDefault="00675B08">
      <w:r>
        <w:continuationSeparator/>
      </w:r>
    </w:p>
  </w:endnote>
  <w:endnote w:type="continuationNotice" w:id="1">
    <w:p w14:paraId="4567ED1D" w14:textId="77777777" w:rsidR="00675B08" w:rsidRDefault="0067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ahoma"/>
    <w:panose1 w:val="02020803070505020304"/>
    <w:charset w:val="00"/>
    <w:family w:val="roman"/>
    <w:pitch w:val="variable"/>
    <w:sig w:usb0="00003A87" w:usb1="00000000" w:usb2="00000000" w:usb3="00000000" w:csb0="000000FF" w:csb1="00000000"/>
  </w:font>
  <w:font w:name="ZapfHumnst BT">
    <w:altName w:val="Century Gothic"/>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73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BE247"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9FA2" w14:textId="77777777" w:rsidR="00596F6A" w:rsidRDefault="00596F6A" w:rsidP="00596F6A">
    <w:pPr>
      <w:pStyle w:val="Header"/>
    </w:pPr>
  </w:p>
  <w:p w14:paraId="5F72FED0" w14:textId="77777777" w:rsidR="00596F6A" w:rsidRDefault="00596F6A" w:rsidP="00596F6A"/>
  <w:p w14:paraId="59A66028" w14:textId="77777777" w:rsidR="00596F6A" w:rsidRDefault="00596F6A" w:rsidP="00596F6A">
    <w:pPr>
      <w:pStyle w:val="Footer"/>
    </w:pPr>
  </w:p>
  <w:p w14:paraId="5EC3BC44" w14:textId="77777777" w:rsidR="00596F6A" w:rsidRDefault="00596F6A" w:rsidP="00596F6A"/>
  <w:p w14:paraId="161A5F76" w14:textId="1A1F7FCA" w:rsidR="00596F6A" w:rsidRDefault="00596F6A" w:rsidP="00596F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D6A">
      <w:rPr>
        <w:rStyle w:val="PageNumber"/>
        <w:noProof/>
      </w:rPr>
      <w:t>2</w:t>
    </w:r>
    <w:r>
      <w:rPr>
        <w:rStyle w:val="PageNumber"/>
      </w:rPr>
      <w:fldChar w:fldCharType="end"/>
    </w:r>
  </w:p>
  <w:p w14:paraId="129CC30A" w14:textId="73311D49" w:rsidR="007308E1" w:rsidRDefault="007308E1" w:rsidP="00596F6A">
    <w:pPr>
      <w:pStyle w:val="Footer"/>
      <w:ind w:right="360"/>
    </w:pPr>
    <w:r w:rsidRPr="00241F6B">
      <w:rPr>
        <w:lang w:val="pt-BR"/>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7F2C"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58C87D85"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E843C8C"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5FDC" w14:textId="77777777" w:rsidR="00675B08" w:rsidRDefault="00675B08">
      <w:r>
        <w:separator/>
      </w:r>
    </w:p>
  </w:footnote>
  <w:footnote w:type="continuationSeparator" w:id="0">
    <w:p w14:paraId="05848E67" w14:textId="77777777" w:rsidR="00675B08" w:rsidRDefault="00675B08">
      <w:r>
        <w:continuationSeparator/>
      </w:r>
    </w:p>
  </w:footnote>
  <w:footnote w:type="continuationNotice" w:id="1">
    <w:p w14:paraId="45AD773E" w14:textId="77777777" w:rsidR="00675B08" w:rsidRDefault="00675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35F" w14:textId="77777777" w:rsidR="00583151" w:rsidRDefault="0058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86AB" w14:textId="77777777" w:rsidR="00583151" w:rsidRDefault="0058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4A000D" w14:paraId="44AE1723" w14:textId="77777777" w:rsidTr="0001152F">
      <w:trPr>
        <w:cantSplit/>
        <w:trHeight w:val="1629"/>
      </w:trPr>
      <w:tc>
        <w:tcPr>
          <w:tcW w:w="1958" w:type="dxa"/>
        </w:tcPr>
        <w:p w14:paraId="63DA032F" w14:textId="77777777" w:rsidR="007308E1" w:rsidRPr="00F91B57" w:rsidRDefault="007340C0">
          <w:r>
            <w:rPr>
              <w:noProof/>
            </w:rPr>
            <w:drawing>
              <wp:anchor distT="0" distB="0" distL="114300" distR="114300" simplePos="0" relativeHeight="251669504" behindDoc="0" locked="0" layoutInCell="1" allowOverlap="1" wp14:anchorId="3FBE90D1" wp14:editId="0CC66CA2">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0" allowOverlap="1" wp14:anchorId="33423A00" wp14:editId="0EB7DFDB">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4293" id="Freeform 5" o:spid="_x0000_s1026" style="position:absolute;margin-left:83.7pt;margin-top:667.6pt;width:1.7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1312" behindDoc="0" locked="0" layoutInCell="0" allowOverlap="1" wp14:anchorId="3F137D78" wp14:editId="69C1452D">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6144" id="Rectangle 4" o:spid="_x0000_s1026" style="position:absolute;margin-left:57pt;margin-top:731.15pt;width: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3687AE5C" wp14:editId="0E38BF30">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6BAA"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" o:allowincell="f" stroked="f" strokeweight="0"/>
                </w:pict>
              </mc:Fallback>
            </mc:AlternateContent>
          </w:r>
          <w:r>
            <w:rPr>
              <w:noProof/>
            </w:rPr>
            <mc:AlternateContent>
              <mc:Choice Requires="wps">
                <w:drawing>
                  <wp:anchor distT="0" distB="0" distL="114300" distR="114300" simplePos="0" relativeHeight="251653120" behindDoc="0" locked="0" layoutInCell="0" allowOverlap="1" wp14:anchorId="320B5E05" wp14:editId="7922A786">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7A7F" id="Freeform 2" o:spid="_x0000_s1026" style="position:absolute;margin-left:29.4pt;margin-top:667.6pt;width:3.95pt;height: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49024" behindDoc="0" locked="0" layoutInCell="0" allowOverlap="1" wp14:anchorId="4181CB59" wp14:editId="2B62DEFD">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8E73" id="Rectangle 1" o:spid="_x0000_s1026" style="position:absolute;margin-left:26.45pt;margin-top:696.15pt;width:14.65pt;height:2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" o:allowincell="f" stroked="f" strokeweight="0"/>
                </w:pict>
              </mc:Fallback>
            </mc:AlternateContent>
          </w:r>
        </w:p>
      </w:tc>
      <w:tc>
        <w:tcPr>
          <w:tcW w:w="8221" w:type="dxa"/>
          <w:tcBorders>
            <w:bottom w:val="single" w:sz="18" w:space="0" w:color="auto"/>
          </w:tcBorders>
        </w:tcPr>
        <w:p w14:paraId="3DB9038E" w14:textId="4E7BD30A" w:rsidR="007308E1" w:rsidRPr="007964D7" w:rsidRDefault="00241F6B">
          <w:pPr>
            <w:ind w:left="290"/>
            <w:rPr>
              <w:rFonts w:ascii="ZapfHumnst BT" w:hAnsi="ZapfHumnst BT"/>
              <w:b/>
              <w:sz w:val="25"/>
              <w:lang w:val="es-ES"/>
            </w:rPr>
          </w:pPr>
          <w:r w:rsidRPr="007964D7">
            <w:rPr>
              <w:rFonts w:ascii="ZapfHumnst BT" w:hAnsi="ZapfHumnst BT"/>
              <w:b/>
              <w:sz w:val="25"/>
              <w:lang w:val="es-ES"/>
            </w:rPr>
            <w:t>ORGANIZACI</w:t>
          </w:r>
          <w:r w:rsidR="004A000D">
            <w:rPr>
              <w:rFonts w:ascii="ZapfHumnst BT" w:hAnsi="ZapfHumnst BT"/>
              <w:b/>
              <w:sz w:val="25"/>
              <w:lang w:val="es-ES"/>
            </w:rPr>
            <w:t>Ó</w:t>
          </w:r>
          <w:r w:rsidR="007308E1" w:rsidRPr="007964D7">
            <w:rPr>
              <w:rFonts w:ascii="ZapfHumnst BT" w:hAnsi="ZapfHumnst BT"/>
              <w:b/>
              <w:sz w:val="25"/>
              <w:lang w:val="es-ES"/>
            </w:rPr>
            <w:t xml:space="preserve">N DE LOS ESTADOS AMERICANOS </w:t>
          </w:r>
        </w:p>
        <w:p w14:paraId="7DCA447C" w14:textId="77777777" w:rsidR="007308E1" w:rsidRPr="007964D7" w:rsidRDefault="007308E1">
          <w:pPr>
            <w:ind w:left="290"/>
            <w:rPr>
              <w:rFonts w:ascii="ZapfHumnst BT" w:hAnsi="ZapfHumnst BT"/>
              <w:b/>
              <w:sz w:val="28"/>
              <w:lang w:val="es-ES"/>
            </w:rPr>
          </w:pPr>
          <w:r w:rsidRPr="007964D7">
            <w:rPr>
              <w:rFonts w:ascii="ZapfHumnst BT" w:hAnsi="ZapfHumnst BT"/>
              <w:b/>
              <w:sz w:val="25"/>
              <w:lang w:val="es-ES"/>
            </w:rPr>
            <w:t>ORGANIZATION OF AMERICAN STATES</w:t>
          </w:r>
          <w:r w:rsidRPr="007964D7">
            <w:rPr>
              <w:rFonts w:ascii="ZapfHumnst BT" w:hAnsi="ZapfHumnst BT"/>
              <w:b/>
              <w:sz w:val="24"/>
              <w:lang w:val="es-ES"/>
            </w:rPr>
            <w:t xml:space="preserve"> </w:t>
          </w:r>
        </w:p>
        <w:p w14:paraId="53B24A72" w14:textId="77777777" w:rsidR="007308E1" w:rsidRPr="007964D7" w:rsidRDefault="007308E1">
          <w:pPr>
            <w:tabs>
              <w:tab w:val="left" w:pos="8300"/>
            </w:tabs>
            <w:ind w:right="200"/>
            <w:jc w:val="right"/>
            <w:rPr>
              <w:rFonts w:ascii="ZapfHumnst BT" w:hAnsi="ZapfHumnst BT"/>
              <w:b/>
              <w:sz w:val="24"/>
              <w:lang w:val="es-ES"/>
            </w:rPr>
          </w:pPr>
        </w:p>
        <w:p w14:paraId="79DEEBED" w14:textId="77777777" w:rsidR="007308E1" w:rsidRPr="007964D7" w:rsidRDefault="007308E1">
          <w:pPr>
            <w:tabs>
              <w:tab w:val="left" w:pos="8300"/>
            </w:tabs>
            <w:ind w:right="200"/>
            <w:jc w:val="right"/>
            <w:rPr>
              <w:rFonts w:ascii="ZapfHumnst BT" w:hAnsi="ZapfHumnst BT"/>
              <w:b/>
              <w:sz w:val="25"/>
              <w:lang w:val="es-ES"/>
            </w:rPr>
          </w:pPr>
          <w:r w:rsidRPr="007964D7">
            <w:rPr>
              <w:rFonts w:ascii="ZapfHumnst BT" w:hAnsi="ZapfHumnst BT"/>
              <w:b/>
              <w:sz w:val="24"/>
              <w:lang w:val="es-ES"/>
            </w:rPr>
            <w:t>Comisión Interamericana de Telecomunicaciones</w:t>
          </w:r>
        </w:p>
        <w:p w14:paraId="780DCE3E" w14:textId="77777777" w:rsidR="007308E1" w:rsidRPr="007964D7" w:rsidRDefault="007308E1">
          <w:pPr>
            <w:tabs>
              <w:tab w:val="left" w:pos="8300"/>
            </w:tabs>
            <w:ind w:right="200"/>
            <w:jc w:val="right"/>
            <w:rPr>
              <w:rFonts w:ascii="ZapfHumnst BT" w:hAnsi="ZapfHumnst BT"/>
              <w:b/>
              <w:sz w:val="28"/>
              <w:lang w:val="es-ES"/>
            </w:rPr>
          </w:pPr>
          <w:r w:rsidRPr="007964D7">
            <w:rPr>
              <w:rFonts w:ascii="ZapfHumnst BT" w:hAnsi="ZapfHumnst BT"/>
              <w:b/>
              <w:sz w:val="24"/>
              <w:lang w:val="es-ES"/>
            </w:rPr>
            <w:t>Inter-American Telecommunication Commission</w:t>
          </w:r>
        </w:p>
      </w:tc>
    </w:tr>
  </w:tbl>
  <w:p w14:paraId="65BA61DE" w14:textId="77777777" w:rsidR="007308E1" w:rsidRPr="00F91B57" w:rsidRDefault="007308E1">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CA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5E5703"/>
    <w:multiLevelType w:val="hybridMultilevel"/>
    <w:tmpl w:val="8586F82A"/>
    <w:lvl w:ilvl="0" w:tplc="FC1A2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59A147B4"/>
    <w:multiLevelType w:val="hybridMultilevel"/>
    <w:tmpl w:val="36C0CD3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6" w15:restartNumberingAfterBreak="0">
    <w:nsid w:val="616644E2"/>
    <w:multiLevelType w:val="hybridMultilevel"/>
    <w:tmpl w:val="7792BF7E"/>
    <w:lvl w:ilvl="0" w:tplc="B53EB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A437D"/>
    <w:multiLevelType w:val="hybridMultilevel"/>
    <w:tmpl w:val="1F8A79BA"/>
    <w:lvl w:ilvl="0" w:tplc="14090001">
      <w:start w:val="1"/>
      <w:numFmt w:val="bullet"/>
      <w:lvlText w:val=""/>
      <w:lvlJc w:val="left"/>
      <w:pPr>
        <w:ind w:left="420" w:hanging="420"/>
      </w:pPr>
      <w:rPr>
        <w:rFonts w:ascii="Symbol" w:hAnsi="Symbol" w:hint="default"/>
      </w:rPr>
    </w:lvl>
    <w:lvl w:ilvl="1" w:tplc="3C7820D6">
      <w:numFmt w:val="bullet"/>
      <w:lvlText w:val="-"/>
      <w:lvlJc w:val="left"/>
      <w:pPr>
        <w:ind w:left="1560" w:hanging="114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9" w15:restartNumberingAfterBreak="0">
    <w:nsid w:val="717143B9"/>
    <w:multiLevelType w:val="hybridMultilevel"/>
    <w:tmpl w:val="A432A03A"/>
    <w:lvl w:ilvl="0" w:tplc="04160001">
      <w:start w:val="1"/>
      <w:numFmt w:val="bullet"/>
      <w:lvlText w:val=""/>
      <w:lvlJc w:val="left"/>
      <w:pPr>
        <w:ind w:left="837" w:hanging="360"/>
      </w:pPr>
      <w:rPr>
        <w:rFonts w:ascii="Symbol" w:hAnsi="Symbol" w:hint="default"/>
      </w:rPr>
    </w:lvl>
    <w:lvl w:ilvl="1" w:tplc="04160003" w:tentative="1">
      <w:start w:val="1"/>
      <w:numFmt w:val="bullet"/>
      <w:lvlText w:val="o"/>
      <w:lvlJc w:val="left"/>
      <w:pPr>
        <w:ind w:left="1557" w:hanging="360"/>
      </w:pPr>
      <w:rPr>
        <w:rFonts w:ascii="Courier New" w:hAnsi="Courier New" w:cs="Courier New" w:hint="default"/>
      </w:rPr>
    </w:lvl>
    <w:lvl w:ilvl="2" w:tplc="04160005" w:tentative="1">
      <w:start w:val="1"/>
      <w:numFmt w:val="bullet"/>
      <w:lvlText w:val=""/>
      <w:lvlJc w:val="left"/>
      <w:pPr>
        <w:ind w:left="2277" w:hanging="360"/>
      </w:pPr>
      <w:rPr>
        <w:rFonts w:ascii="Wingdings" w:hAnsi="Wingdings" w:hint="default"/>
      </w:rPr>
    </w:lvl>
    <w:lvl w:ilvl="3" w:tplc="04160001" w:tentative="1">
      <w:start w:val="1"/>
      <w:numFmt w:val="bullet"/>
      <w:lvlText w:val=""/>
      <w:lvlJc w:val="left"/>
      <w:pPr>
        <w:ind w:left="2997" w:hanging="360"/>
      </w:pPr>
      <w:rPr>
        <w:rFonts w:ascii="Symbol" w:hAnsi="Symbol" w:hint="default"/>
      </w:rPr>
    </w:lvl>
    <w:lvl w:ilvl="4" w:tplc="04160003" w:tentative="1">
      <w:start w:val="1"/>
      <w:numFmt w:val="bullet"/>
      <w:lvlText w:val="o"/>
      <w:lvlJc w:val="left"/>
      <w:pPr>
        <w:ind w:left="3717" w:hanging="360"/>
      </w:pPr>
      <w:rPr>
        <w:rFonts w:ascii="Courier New" w:hAnsi="Courier New" w:cs="Courier New" w:hint="default"/>
      </w:rPr>
    </w:lvl>
    <w:lvl w:ilvl="5" w:tplc="04160005" w:tentative="1">
      <w:start w:val="1"/>
      <w:numFmt w:val="bullet"/>
      <w:lvlText w:val=""/>
      <w:lvlJc w:val="left"/>
      <w:pPr>
        <w:ind w:left="4437" w:hanging="360"/>
      </w:pPr>
      <w:rPr>
        <w:rFonts w:ascii="Wingdings" w:hAnsi="Wingdings" w:hint="default"/>
      </w:rPr>
    </w:lvl>
    <w:lvl w:ilvl="6" w:tplc="04160001" w:tentative="1">
      <w:start w:val="1"/>
      <w:numFmt w:val="bullet"/>
      <w:lvlText w:val=""/>
      <w:lvlJc w:val="left"/>
      <w:pPr>
        <w:ind w:left="5157" w:hanging="360"/>
      </w:pPr>
      <w:rPr>
        <w:rFonts w:ascii="Symbol" w:hAnsi="Symbol" w:hint="default"/>
      </w:rPr>
    </w:lvl>
    <w:lvl w:ilvl="7" w:tplc="04160003" w:tentative="1">
      <w:start w:val="1"/>
      <w:numFmt w:val="bullet"/>
      <w:lvlText w:val="o"/>
      <w:lvlJc w:val="left"/>
      <w:pPr>
        <w:ind w:left="5877" w:hanging="360"/>
      </w:pPr>
      <w:rPr>
        <w:rFonts w:ascii="Courier New" w:hAnsi="Courier New" w:cs="Courier New" w:hint="default"/>
      </w:rPr>
    </w:lvl>
    <w:lvl w:ilvl="8" w:tplc="04160005" w:tentative="1">
      <w:start w:val="1"/>
      <w:numFmt w:val="bullet"/>
      <w:lvlText w:val=""/>
      <w:lvlJc w:val="left"/>
      <w:pPr>
        <w:ind w:left="6597" w:hanging="360"/>
      </w:pPr>
      <w:rPr>
        <w:rFonts w:ascii="Wingdings" w:hAnsi="Wingdings" w:hint="default"/>
      </w:rPr>
    </w:lvl>
  </w:abstractNum>
  <w:num w:numId="1" w16cid:durableId="787819276">
    <w:abstractNumId w:val="0"/>
  </w:num>
  <w:num w:numId="2" w16cid:durableId="1863857207">
    <w:abstractNumId w:val="2"/>
  </w:num>
  <w:num w:numId="3" w16cid:durableId="380059081">
    <w:abstractNumId w:val="8"/>
  </w:num>
  <w:num w:numId="4" w16cid:durableId="1230843848">
    <w:abstractNumId w:val="1"/>
  </w:num>
  <w:num w:numId="5" w16cid:durableId="1623800831">
    <w:abstractNumId w:val="4"/>
  </w:num>
  <w:num w:numId="6" w16cid:durableId="822359201">
    <w:abstractNumId w:val="9"/>
  </w:num>
  <w:num w:numId="7" w16cid:durableId="1807430780">
    <w:abstractNumId w:val="3"/>
  </w:num>
  <w:num w:numId="8" w16cid:durableId="1134955452">
    <w:abstractNumId w:val="7"/>
  </w:num>
  <w:num w:numId="9" w16cid:durableId="494804780">
    <w:abstractNumId w:val="5"/>
  </w:num>
  <w:num w:numId="10" w16cid:durableId="1130826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DD"/>
    <w:rsid w:val="0001152F"/>
    <w:rsid w:val="00040193"/>
    <w:rsid w:val="00046DAE"/>
    <w:rsid w:val="00052D8A"/>
    <w:rsid w:val="00081456"/>
    <w:rsid w:val="00083B77"/>
    <w:rsid w:val="000B7255"/>
    <w:rsid w:val="000B7E78"/>
    <w:rsid w:val="000D1775"/>
    <w:rsid w:val="000D4C1A"/>
    <w:rsid w:val="000E33A5"/>
    <w:rsid w:val="00106646"/>
    <w:rsid w:val="00112427"/>
    <w:rsid w:val="00113741"/>
    <w:rsid w:val="00130557"/>
    <w:rsid w:val="0017084E"/>
    <w:rsid w:val="00176C15"/>
    <w:rsid w:val="001D1909"/>
    <w:rsid w:val="002178DF"/>
    <w:rsid w:val="00217EFA"/>
    <w:rsid w:val="00220543"/>
    <w:rsid w:val="00241F6B"/>
    <w:rsid w:val="002623C9"/>
    <w:rsid w:val="002A4514"/>
    <w:rsid w:val="002A631D"/>
    <w:rsid w:val="002B08AC"/>
    <w:rsid w:val="002B5A22"/>
    <w:rsid w:val="002B65D6"/>
    <w:rsid w:val="002C569B"/>
    <w:rsid w:val="002C5EF8"/>
    <w:rsid w:val="002D5846"/>
    <w:rsid w:val="002F08EB"/>
    <w:rsid w:val="0030785D"/>
    <w:rsid w:val="00313C59"/>
    <w:rsid w:val="00320409"/>
    <w:rsid w:val="00326C33"/>
    <w:rsid w:val="003355CC"/>
    <w:rsid w:val="0034099B"/>
    <w:rsid w:val="00344FDD"/>
    <w:rsid w:val="00364023"/>
    <w:rsid w:val="003674EA"/>
    <w:rsid w:val="003701A5"/>
    <w:rsid w:val="00370D0B"/>
    <w:rsid w:val="003870CF"/>
    <w:rsid w:val="003A11BF"/>
    <w:rsid w:val="003A6B15"/>
    <w:rsid w:val="003B5116"/>
    <w:rsid w:val="003C5D3F"/>
    <w:rsid w:val="003E7951"/>
    <w:rsid w:val="003F5838"/>
    <w:rsid w:val="003F6646"/>
    <w:rsid w:val="00404642"/>
    <w:rsid w:val="004347FF"/>
    <w:rsid w:val="00451B70"/>
    <w:rsid w:val="00476645"/>
    <w:rsid w:val="00494E63"/>
    <w:rsid w:val="004A000D"/>
    <w:rsid w:val="004B39D5"/>
    <w:rsid w:val="004B4BAB"/>
    <w:rsid w:val="004C6EFB"/>
    <w:rsid w:val="004F4CB4"/>
    <w:rsid w:val="004F58F5"/>
    <w:rsid w:val="005036D3"/>
    <w:rsid w:val="00517218"/>
    <w:rsid w:val="005175FB"/>
    <w:rsid w:val="0052422F"/>
    <w:rsid w:val="005246E6"/>
    <w:rsid w:val="0053477B"/>
    <w:rsid w:val="0054175B"/>
    <w:rsid w:val="00566AFE"/>
    <w:rsid w:val="0057000F"/>
    <w:rsid w:val="00573B24"/>
    <w:rsid w:val="00583151"/>
    <w:rsid w:val="00596F6A"/>
    <w:rsid w:val="00597B0F"/>
    <w:rsid w:val="005A1E4C"/>
    <w:rsid w:val="005A7228"/>
    <w:rsid w:val="005A7D6A"/>
    <w:rsid w:val="005B6C85"/>
    <w:rsid w:val="005C4FF3"/>
    <w:rsid w:val="005C60FF"/>
    <w:rsid w:val="005C7EB9"/>
    <w:rsid w:val="00610965"/>
    <w:rsid w:val="00621D4D"/>
    <w:rsid w:val="00647183"/>
    <w:rsid w:val="00651C94"/>
    <w:rsid w:val="00666ABB"/>
    <w:rsid w:val="0067140C"/>
    <w:rsid w:val="00674BB6"/>
    <w:rsid w:val="00675B08"/>
    <w:rsid w:val="006800D0"/>
    <w:rsid w:val="00680BA4"/>
    <w:rsid w:val="00687F0A"/>
    <w:rsid w:val="0069263A"/>
    <w:rsid w:val="006C59A4"/>
    <w:rsid w:val="006C71AA"/>
    <w:rsid w:val="006F62CC"/>
    <w:rsid w:val="006F7C09"/>
    <w:rsid w:val="007043EB"/>
    <w:rsid w:val="00713C39"/>
    <w:rsid w:val="007203D5"/>
    <w:rsid w:val="007308E1"/>
    <w:rsid w:val="007340C0"/>
    <w:rsid w:val="00744A51"/>
    <w:rsid w:val="00770DF8"/>
    <w:rsid w:val="00773D11"/>
    <w:rsid w:val="00784DB5"/>
    <w:rsid w:val="00787930"/>
    <w:rsid w:val="007964D7"/>
    <w:rsid w:val="007C5067"/>
    <w:rsid w:val="007F209B"/>
    <w:rsid w:val="00810D67"/>
    <w:rsid w:val="0081652C"/>
    <w:rsid w:val="00824595"/>
    <w:rsid w:val="008264D0"/>
    <w:rsid w:val="0084057A"/>
    <w:rsid w:val="008803E7"/>
    <w:rsid w:val="00897200"/>
    <w:rsid w:val="008A5015"/>
    <w:rsid w:val="008A61D6"/>
    <w:rsid w:val="008E0405"/>
    <w:rsid w:val="008E39A1"/>
    <w:rsid w:val="008F141E"/>
    <w:rsid w:val="008F6423"/>
    <w:rsid w:val="00917765"/>
    <w:rsid w:val="00945B13"/>
    <w:rsid w:val="00946638"/>
    <w:rsid w:val="0095346A"/>
    <w:rsid w:val="00953AEE"/>
    <w:rsid w:val="00955D5F"/>
    <w:rsid w:val="0096396F"/>
    <w:rsid w:val="00971EB8"/>
    <w:rsid w:val="00972072"/>
    <w:rsid w:val="00995DEC"/>
    <w:rsid w:val="009B3A2A"/>
    <w:rsid w:val="009F179C"/>
    <w:rsid w:val="009F3DD3"/>
    <w:rsid w:val="00A30CF5"/>
    <w:rsid w:val="00A4159C"/>
    <w:rsid w:val="00A526D8"/>
    <w:rsid w:val="00A610B7"/>
    <w:rsid w:val="00A65B9F"/>
    <w:rsid w:val="00A83FA6"/>
    <w:rsid w:val="00A85695"/>
    <w:rsid w:val="00A87782"/>
    <w:rsid w:val="00AB1A86"/>
    <w:rsid w:val="00AC0B21"/>
    <w:rsid w:val="00AD2B12"/>
    <w:rsid w:val="00AF2EF8"/>
    <w:rsid w:val="00B06504"/>
    <w:rsid w:val="00B21910"/>
    <w:rsid w:val="00B42446"/>
    <w:rsid w:val="00B60DD5"/>
    <w:rsid w:val="00B71FAB"/>
    <w:rsid w:val="00B74252"/>
    <w:rsid w:val="00B959DF"/>
    <w:rsid w:val="00BA279C"/>
    <w:rsid w:val="00BA42B7"/>
    <w:rsid w:val="00BF6558"/>
    <w:rsid w:val="00C05F57"/>
    <w:rsid w:val="00C23474"/>
    <w:rsid w:val="00C24B00"/>
    <w:rsid w:val="00C4469E"/>
    <w:rsid w:val="00C505D3"/>
    <w:rsid w:val="00C652A6"/>
    <w:rsid w:val="00C653E5"/>
    <w:rsid w:val="00C704A8"/>
    <w:rsid w:val="00C72E1B"/>
    <w:rsid w:val="00C76E88"/>
    <w:rsid w:val="00C85ABD"/>
    <w:rsid w:val="00C912AE"/>
    <w:rsid w:val="00C9294D"/>
    <w:rsid w:val="00C9466C"/>
    <w:rsid w:val="00C9554B"/>
    <w:rsid w:val="00C96F79"/>
    <w:rsid w:val="00CB0993"/>
    <w:rsid w:val="00CB3D34"/>
    <w:rsid w:val="00CE6B7B"/>
    <w:rsid w:val="00D10E88"/>
    <w:rsid w:val="00D14898"/>
    <w:rsid w:val="00D16FE5"/>
    <w:rsid w:val="00D273FB"/>
    <w:rsid w:val="00D33469"/>
    <w:rsid w:val="00D36422"/>
    <w:rsid w:val="00D43228"/>
    <w:rsid w:val="00D5204C"/>
    <w:rsid w:val="00D96B94"/>
    <w:rsid w:val="00DA247E"/>
    <w:rsid w:val="00DB2E83"/>
    <w:rsid w:val="00DC0D0A"/>
    <w:rsid w:val="00DC2F6F"/>
    <w:rsid w:val="00DC7FB4"/>
    <w:rsid w:val="00DE11A2"/>
    <w:rsid w:val="00DE6B74"/>
    <w:rsid w:val="00DF6653"/>
    <w:rsid w:val="00E06311"/>
    <w:rsid w:val="00E355D2"/>
    <w:rsid w:val="00E35C7D"/>
    <w:rsid w:val="00E37090"/>
    <w:rsid w:val="00E41667"/>
    <w:rsid w:val="00E420D4"/>
    <w:rsid w:val="00E55FDD"/>
    <w:rsid w:val="00E62374"/>
    <w:rsid w:val="00E67F0F"/>
    <w:rsid w:val="00E82AC2"/>
    <w:rsid w:val="00E86A95"/>
    <w:rsid w:val="00E879C2"/>
    <w:rsid w:val="00E91919"/>
    <w:rsid w:val="00EA13DC"/>
    <w:rsid w:val="00EA726F"/>
    <w:rsid w:val="00EB298E"/>
    <w:rsid w:val="00EB773D"/>
    <w:rsid w:val="00ED49AA"/>
    <w:rsid w:val="00EE63C1"/>
    <w:rsid w:val="00EF0849"/>
    <w:rsid w:val="00EF7860"/>
    <w:rsid w:val="00F1782F"/>
    <w:rsid w:val="00F20FDC"/>
    <w:rsid w:val="00F225DB"/>
    <w:rsid w:val="00F25452"/>
    <w:rsid w:val="00F34E74"/>
    <w:rsid w:val="00F4091D"/>
    <w:rsid w:val="00F41950"/>
    <w:rsid w:val="00F62A22"/>
    <w:rsid w:val="00F63C10"/>
    <w:rsid w:val="00F753F7"/>
    <w:rsid w:val="00F769E1"/>
    <w:rsid w:val="00F8799A"/>
    <w:rsid w:val="00F87BE8"/>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07A0A"/>
  <w15:chartTrackingRefBased/>
  <w15:docId w15:val="{12AB6178-9C96-4C58-B29E-081DB00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C6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qFormat/>
    <w:rsid w:val="00EA726F"/>
    <w:pPr>
      <w:widowControl w:val="0"/>
      <w:autoSpaceDE w:val="0"/>
      <w:autoSpaceDN w:val="0"/>
    </w:pPr>
    <w:rPr>
      <w:sz w:val="24"/>
      <w:szCs w:val="24"/>
    </w:rPr>
  </w:style>
  <w:style w:type="character" w:customStyle="1" w:styleId="BodyTextChar">
    <w:name w:val="Body Text Char"/>
    <w:basedOn w:val="DefaultParagraphFont"/>
    <w:link w:val="BodyText"/>
    <w:rsid w:val="00EA726F"/>
    <w:rPr>
      <w:sz w:val="24"/>
      <w:szCs w:val="24"/>
    </w:rPr>
  </w:style>
  <w:style w:type="character" w:customStyle="1" w:styleId="ECCParagraph">
    <w:name w:val="ECC Paragraph"/>
    <w:basedOn w:val="DefaultParagraphFont"/>
    <w:uiPriority w:val="1"/>
    <w:qFormat/>
    <w:rsid w:val="00EA726F"/>
    <w:rPr>
      <w:rFonts w:ascii="Arial" w:hAnsi="Arial" w:cs="Arial" w:hint="default"/>
      <w:noProof w:val="0"/>
      <w:sz w:val="20"/>
      <w:bdr w:val="none" w:sz="0" w:space="0" w:color="auto" w:frame="1"/>
      <w:lang w:val="en-GB"/>
    </w:rPr>
  </w:style>
  <w:style w:type="paragraph" w:styleId="TOC1">
    <w:name w:val="toc 1"/>
    <w:basedOn w:val="Normal"/>
    <w:next w:val="Normal"/>
    <w:autoRedefine/>
    <w:rsid w:val="00EA726F"/>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iPriority w:val="99"/>
    <w:unhideWhenUsed/>
    <w:rsid w:val="00E86A9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uiPriority w:val="99"/>
    <w:rsid w:val="00E86A9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uiPriority w:val="99"/>
    <w:unhideWhenUsed/>
    <w:qFormat/>
    <w:rsid w:val="00E86A95"/>
    <w:rPr>
      <w:rFonts w:ascii="Times New Roman" w:hAnsi="Times New Roman" w:cs="Times New Roman" w:hint="default"/>
      <w:vertAlign w:val="superscript"/>
    </w:rPr>
  </w:style>
  <w:style w:type="paragraph" w:styleId="ListParagraph">
    <w:name w:val="List Paragraph"/>
    <w:basedOn w:val="Normal"/>
    <w:link w:val="ListParagraphChar"/>
    <w:uiPriority w:val="34"/>
    <w:qFormat/>
    <w:rsid w:val="0034099B"/>
    <w:pPr>
      <w:widowControl w:val="0"/>
      <w:autoSpaceDE w:val="0"/>
      <w:autoSpaceDN w:val="0"/>
      <w:ind w:left="1840" w:hanging="360"/>
    </w:pPr>
    <w:rPr>
      <w:sz w:val="22"/>
      <w:szCs w:val="22"/>
    </w:rPr>
  </w:style>
  <w:style w:type="paragraph" w:customStyle="1" w:styleId="Default">
    <w:name w:val="Default"/>
    <w:rsid w:val="0034099B"/>
    <w:pPr>
      <w:autoSpaceDE w:val="0"/>
      <w:autoSpaceDN w:val="0"/>
      <w:adjustRightInd w:val="0"/>
    </w:pPr>
    <w:rPr>
      <w:rFonts w:ascii="Calibri" w:hAnsi="Calibri" w:cs="Calibri"/>
      <w:color w:val="000000"/>
      <w:sz w:val="24"/>
      <w:szCs w:val="24"/>
      <w:lang w:val="pt-BR"/>
    </w:rPr>
  </w:style>
  <w:style w:type="character" w:customStyle="1" w:styleId="jlqj4b">
    <w:name w:val="jlqj4b"/>
    <w:basedOn w:val="DefaultParagraphFont"/>
    <w:rsid w:val="0034099B"/>
  </w:style>
  <w:style w:type="paragraph" w:styleId="BalloonText">
    <w:name w:val="Balloon Text"/>
    <w:basedOn w:val="Normal"/>
    <w:link w:val="BalloonTextChar"/>
    <w:semiHidden/>
    <w:unhideWhenUsed/>
    <w:rsid w:val="0034099B"/>
    <w:rPr>
      <w:rFonts w:ascii="Segoe UI" w:hAnsi="Segoe UI" w:cs="Segoe UI"/>
      <w:sz w:val="18"/>
      <w:szCs w:val="18"/>
    </w:rPr>
  </w:style>
  <w:style w:type="character" w:customStyle="1" w:styleId="BalloonTextChar">
    <w:name w:val="Balloon Text Char"/>
    <w:basedOn w:val="DefaultParagraphFont"/>
    <w:link w:val="BalloonText"/>
    <w:semiHidden/>
    <w:rsid w:val="0034099B"/>
    <w:rPr>
      <w:rFonts w:ascii="Segoe UI" w:hAnsi="Segoe UI" w:cs="Segoe UI"/>
      <w:sz w:val="18"/>
      <w:szCs w:val="18"/>
    </w:rPr>
  </w:style>
  <w:style w:type="character" w:styleId="CommentReference">
    <w:name w:val="annotation reference"/>
    <w:basedOn w:val="DefaultParagraphFont"/>
    <w:rsid w:val="00E62374"/>
    <w:rPr>
      <w:sz w:val="16"/>
      <w:szCs w:val="16"/>
    </w:rPr>
  </w:style>
  <w:style w:type="paragraph" w:styleId="CommentText">
    <w:name w:val="annotation text"/>
    <w:basedOn w:val="Normal"/>
    <w:link w:val="CommentTextChar"/>
    <w:rsid w:val="00E62374"/>
  </w:style>
  <w:style w:type="character" w:customStyle="1" w:styleId="CommentTextChar">
    <w:name w:val="Comment Text Char"/>
    <w:basedOn w:val="DefaultParagraphFont"/>
    <w:link w:val="CommentText"/>
    <w:rsid w:val="00E62374"/>
  </w:style>
  <w:style w:type="paragraph" w:styleId="CommentSubject">
    <w:name w:val="annotation subject"/>
    <w:basedOn w:val="CommentText"/>
    <w:next w:val="CommentText"/>
    <w:link w:val="CommentSubjectChar"/>
    <w:semiHidden/>
    <w:unhideWhenUsed/>
    <w:rsid w:val="00E62374"/>
    <w:rPr>
      <w:b/>
      <w:bCs/>
    </w:rPr>
  </w:style>
  <w:style w:type="character" w:customStyle="1" w:styleId="CommentSubjectChar">
    <w:name w:val="Comment Subject Char"/>
    <w:basedOn w:val="CommentTextChar"/>
    <w:link w:val="CommentSubject"/>
    <w:semiHidden/>
    <w:rsid w:val="00E62374"/>
    <w:rPr>
      <w:b/>
      <w:bCs/>
    </w:rPr>
  </w:style>
  <w:style w:type="paragraph" w:styleId="NormalWeb">
    <w:name w:val="Normal (Web)"/>
    <w:basedOn w:val="Normal"/>
    <w:uiPriority w:val="99"/>
    <w:unhideWhenUsed/>
    <w:rsid w:val="00D10E88"/>
    <w:pPr>
      <w:spacing w:after="300" w:line="360" w:lineRule="atLeast"/>
    </w:pPr>
    <w:rPr>
      <w:color w:val="777777"/>
      <w:sz w:val="24"/>
      <w:szCs w:val="24"/>
    </w:rPr>
  </w:style>
  <w:style w:type="character" w:customStyle="1" w:styleId="href">
    <w:name w:val="href"/>
    <w:rsid w:val="00D10E88"/>
  </w:style>
  <w:style w:type="paragraph" w:customStyle="1" w:styleId="Proposal">
    <w:name w:val="Proposal"/>
    <w:basedOn w:val="Normal"/>
    <w:next w:val="Normal"/>
    <w:link w:val="ProposalChar"/>
    <w:rsid w:val="00D10E88"/>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D10E88"/>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ProposalChar">
    <w:name w:val="Proposal Char"/>
    <w:link w:val="Proposal"/>
    <w:rsid w:val="00D10E88"/>
    <w:rPr>
      <w:rFonts w:hAnsi="Times New Roman Bold"/>
      <w:b/>
      <w:sz w:val="24"/>
      <w:lang w:val="en-GB"/>
    </w:rPr>
  </w:style>
  <w:style w:type="paragraph" w:customStyle="1" w:styleId="ResNo">
    <w:name w:val="Res_No"/>
    <w:basedOn w:val="Normal"/>
    <w:next w:val="Normal"/>
    <w:link w:val="ResNoChar"/>
    <w:qFormat/>
    <w:rsid w:val="00D10E88"/>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character" w:customStyle="1" w:styleId="ResNoChar">
    <w:name w:val="Res_No Char"/>
    <w:link w:val="ResNo"/>
    <w:qFormat/>
    <w:rsid w:val="00D10E88"/>
    <w:rPr>
      <w:caps/>
      <w:sz w:val="28"/>
      <w:lang w:val="fr-FR"/>
    </w:rPr>
  </w:style>
  <w:style w:type="character" w:customStyle="1" w:styleId="ReasonsChar">
    <w:name w:val="Reasons Char"/>
    <w:link w:val="Reasons"/>
    <w:locked/>
    <w:rsid w:val="00D10E88"/>
    <w:rPr>
      <w:sz w:val="24"/>
      <w:lang w:val="en-GB"/>
    </w:rPr>
  </w:style>
  <w:style w:type="character" w:customStyle="1" w:styleId="Artref">
    <w:name w:val="Art_ref"/>
    <w:rsid w:val="00112427"/>
  </w:style>
  <w:style w:type="paragraph" w:customStyle="1" w:styleId="Tabletitle">
    <w:name w:val="Table_title"/>
    <w:basedOn w:val="Normal"/>
    <w:next w:val="Normal"/>
    <w:link w:val="TabletitleChar"/>
    <w:rsid w:val="0011242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112427"/>
    <w:rPr>
      <w:b/>
      <w:sz w:val="24"/>
      <w:szCs w:val="24"/>
      <w:lang w:val="fr-FR"/>
    </w:rPr>
  </w:style>
  <w:style w:type="character" w:customStyle="1" w:styleId="Tablefreq">
    <w:name w:val="Table_freq"/>
    <w:rsid w:val="00112427"/>
    <w:rPr>
      <w:b/>
      <w:color w:val="FFCC00"/>
    </w:rPr>
  </w:style>
  <w:style w:type="paragraph" w:customStyle="1" w:styleId="TableTextS5">
    <w:name w:val="Table_TextS5"/>
    <w:basedOn w:val="Normal"/>
    <w:link w:val="TableTextS5Char"/>
    <w:rsid w:val="0011242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112427"/>
    <w:pPr>
      <w:overflowPunct w:val="0"/>
      <w:autoSpaceDE w:val="0"/>
      <w:autoSpaceDN w:val="0"/>
      <w:adjustRightInd w:val="0"/>
      <w:spacing w:before="80" w:after="80"/>
      <w:jc w:val="center"/>
      <w:textAlignment w:val="baseline"/>
    </w:pPr>
    <w:rPr>
      <w:b/>
      <w:lang w:val="fr-FR"/>
    </w:rPr>
  </w:style>
  <w:style w:type="character" w:customStyle="1" w:styleId="TableheadChar">
    <w:name w:val="Table_head Char"/>
    <w:link w:val="Tablehead"/>
    <w:locked/>
    <w:rsid w:val="00112427"/>
    <w:rPr>
      <w:b/>
      <w:lang w:val="fr-FR"/>
    </w:rPr>
  </w:style>
  <w:style w:type="character" w:customStyle="1" w:styleId="TableTextS5Char">
    <w:name w:val="Table_TextS5 Char"/>
    <w:link w:val="TableTextS5"/>
    <w:rsid w:val="00112427"/>
    <w:rPr>
      <w:lang w:val="fr-FR"/>
    </w:rPr>
  </w:style>
  <w:style w:type="paragraph" w:customStyle="1" w:styleId="Normalaftertitle">
    <w:name w:val="Normal_after_title"/>
    <w:basedOn w:val="Normal"/>
    <w:next w:val="Normal"/>
    <w:link w:val="NormalaftertitleChar"/>
    <w:uiPriority w:val="99"/>
    <w:rsid w:val="00112427"/>
    <w:pPr>
      <w:tabs>
        <w:tab w:val="left" w:pos="1134"/>
        <w:tab w:val="left" w:pos="1871"/>
        <w:tab w:val="left" w:pos="2268"/>
      </w:tabs>
      <w:overflowPunct w:val="0"/>
      <w:autoSpaceDE w:val="0"/>
      <w:autoSpaceDN w:val="0"/>
      <w:adjustRightInd w:val="0"/>
      <w:spacing w:before="360"/>
      <w:textAlignment w:val="baseline"/>
    </w:pPr>
    <w:rPr>
      <w:sz w:val="24"/>
      <w:lang w:val="en-GB"/>
    </w:rPr>
  </w:style>
  <w:style w:type="character" w:customStyle="1" w:styleId="NormalaftertitleChar">
    <w:name w:val="Normal_after_title Char"/>
    <w:link w:val="Normalaftertitle"/>
    <w:uiPriority w:val="99"/>
    <w:locked/>
    <w:rsid w:val="00112427"/>
    <w:rPr>
      <w:sz w:val="24"/>
      <w:lang w:val="en-GB"/>
    </w:rPr>
  </w:style>
  <w:style w:type="character" w:customStyle="1" w:styleId="ListParagraphChar">
    <w:name w:val="List Paragraph Char"/>
    <w:link w:val="ListParagraph"/>
    <w:locked/>
    <w:rsid w:val="00112427"/>
    <w:rPr>
      <w:sz w:val="22"/>
      <w:szCs w:val="22"/>
    </w:rPr>
  </w:style>
  <w:style w:type="character" w:customStyle="1" w:styleId="Heading1Char">
    <w:name w:val="Heading 1 Char"/>
    <w:basedOn w:val="DefaultParagraphFont"/>
    <w:link w:val="Heading1"/>
    <w:rsid w:val="004C6EFB"/>
    <w:rPr>
      <w:rFonts w:asciiTheme="majorHAnsi" w:eastAsiaTheme="majorEastAsia" w:hAnsiTheme="majorHAnsi" w:cstheme="majorBidi"/>
      <w:color w:val="2E74B5" w:themeColor="accent1" w:themeShade="BF"/>
      <w:sz w:val="32"/>
      <w:szCs w:val="32"/>
    </w:rPr>
  </w:style>
  <w:style w:type="paragraph" w:customStyle="1" w:styleId="Restitle">
    <w:name w:val="Res_title"/>
    <w:basedOn w:val="Normal"/>
    <w:next w:val="Normal"/>
    <w:link w:val="RestitleChar"/>
    <w:qFormat/>
    <w:rsid w:val="004C6EFB"/>
    <w:pPr>
      <w:keepNext/>
      <w:keepLines/>
      <w:tabs>
        <w:tab w:val="left" w:pos="1134"/>
        <w:tab w:val="left" w:pos="1871"/>
        <w:tab w:val="left" w:pos="2268"/>
      </w:tabs>
      <w:overflowPunct w:val="0"/>
      <w:autoSpaceDE w:val="0"/>
      <w:autoSpaceDN w:val="0"/>
      <w:adjustRightInd w:val="0"/>
      <w:spacing w:before="240"/>
      <w:jc w:val="center"/>
      <w:textAlignment w:val="baseline"/>
      <w:outlineLvl w:val="0"/>
    </w:pPr>
    <w:rPr>
      <w:rFonts w:ascii="Times New Roman Bold" w:hAnsi="Times New Roman Bold"/>
      <w:b/>
      <w:sz w:val="28"/>
      <w:lang w:val="en-GB"/>
    </w:rPr>
  </w:style>
  <w:style w:type="character" w:customStyle="1" w:styleId="RestitleChar">
    <w:name w:val="Res_title Char"/>
    <w:link w:val="Restitle"/>
    <w:qFormat/>
    <w:rsid w:val="004C6EFB"/>
    <w:rPr>
      <w:rFonts w:ascii="Times New Roman Bold" w:hAnsi="Times New Roman Bold"/>
      <w:b/>
      <w:sz w:val="28"/>
      <w:lang w:val="en-GB"/>
    </w:rPr>
  </w:style>
  <w:style w:type="paragraph" w:customStyle="1" w:styleId="ArtNo">
    <w:name w:val="Art_No"/>
    <w:basedOn w:val="Normal"/>
    <w:next w:val="Arttitle"/>
    <w:link w:val="ArtNoChar"/>
    <w:rsid w:val="0030785D"/>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30785D"/>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rsid w:val="0030785D"/>
    <w:rPr>
      <w:b/>
      <w:sz w:val="28"/>
      <w:lang w:val="en-GB"/>
    </w:rPr>
  </w:style>
  <w:style w:type="character" w:customStyle="1" w:styleId="ArtNoChar">
    <w:name w:val="Art_No Char"/>
    <w:link w:val="ArtNo"/>
    <w:rsid w:val="0030785D"/>
    <w:rPr>
      <w:caps/>
      <w:sz w:val="28"/>
      <w:lang w:val="en-GB"/>
    </w:rPr>
  </w:style>
  <w:style w:type="paragraph" w:customStyle="1" w:styleId="Section1">
    <w:name w:val="Section_1"/>
    <w:basedOn w:val="Normal"/>
    <w:rsid w:val="0030785D"/>
    <w:pPr>
      <w:tabs>
        <w:tab w:val="center" w:pos="4820"/>
      </w:tabs>
      <w:overflowPunct w:val="0"/>
      <w:autoSpaceDE w:val="0"/>
      <w:autoSpaceDN w:val="0"/>
      <w:adjustRightInd w:val="0"/>
      <w:spacing w:before="360"/>
      <w:jc w:val="center"/>
      <w:textAlignment w:val="baseline"/>
    </w:pPr>
    <w:rPr>
      <w:b/>
      <w:sz w:val="24"/>
      <w:lang w:val="en-GB"/>
    </w:rPr>
  </w:style>
  <w:style w:type="paragraph" w:customStyle="1" w:styleId="Note">
    <w:name w:val="Note"/>
    <w:basedOn w:val="Normal"/>
    <w:next w:val="Normal"/>
    <w:link w:val="NoteChar"/>
    <w:rsid w:val="0030785D"/>
    <w:pPr>
      <w:tabs>
        <w:tab w:val="left" w:pos="284"/>
        <w:tab w:val="left" w:pos="1134"/>
        <w:tab w:val="left" w:pos="1871"/>
        <w:tab w:val="left" w:pos="2268"/>
      </w:tabs>
      <w:overflowPunct w:val="0"/>
      <w:autoSpaceDE w:val="0"/>
      <w:autoSpaceDN w:val="0"/>
      <w:adjustRightInd w:val="0"/>
      <w:spacing w:before="80"/>
      <w:textAlignment w:val="baseline"/>
    </w:pPr>
    <w:rPr>
      <w:sz w:val="22"/>
      <w:lang w:val="en-GB"/>
    </w:rPr>
  </w:style>
  <w:style w:type="character" w:customStyle="1" w:styleId="Artdef">
    <w:name w:val="Art_def"/>
    <w:rsid w:val="0030785D"/>
    <w:rPr>
      <w:rFonts w:ascii="Times New Roman" w:hAnsi="Times New Roman"/>
      <w:b/>
    </w:rPr>
  </w:style>
  <w:style w:type="character" w:customStyle="1" w:styleId="NoteChar">
    <w:name w:val="Note Char"/>
    <w:link w:val="Note"/>
    <w:qFormat/>
    <w:locked/>
    <w:rsid w:val="0030785D"/>
    <w:rPr>
      <w:sz w:val="22"/>
      <w:lang w:val="en-GB"/>
    </w:rPr>
  </w:style>
  <w:style w:type="paragraph" w:styleId="Revision">
    <w:name w:val="Revision"/>
    <w:hidden/>
    <w:uiPriority w:val="99"/>
    <w:semiHidden/>
    <w:rsid w:val="0054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zi_29fnb5d\Documents\Consulting\2020-2023%20study%20cycle\CITEL\2020%20-12\Templates-Plantillas\GT-CMR23-2020-36-Templates_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2.xml><?xml version="1.0" encoding="utf-8"?>
<ds:datastoreItem xmlns:ds="http://schemas.openxmlformats.org/officeDocument/2006/customXml" ds:itemID="{7979061A-4FAF-49B1-B7B3-7BC3BA1C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docProps/app.xml><?xml version="1.0" encoding="utf-8"?>
<Properties xmlns="http://schemas.openxmlformats.org/officeDocument/2006/extended-properties" xmlns:vt="http://schemas.openxmlformats.org/officeDocument/2006/docPropsVTypes">
  <Template>GT-CMR23-2020-36-Templates_i</Template>
  <TotalTime>4</TotalTime>
  <Pages>3</Pages>
  <Words>686</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 4: PRELIMINARY VIEWS FOR WRC-23 AGENDA ITEM 1.6</vt:lpstr>
    </vt:vector>
  </TitlesOfParts>
  <Manager/>
  <Company>CITEL</Company>
  <LinksUpToDate>false</LinksUpToDate>
  <CharactersWithSpaces>4630</CharactersWithSpaces>
  <SharedDoc>false</SharedDoc>
  <HyperlinkBase/>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 PRELIMINARY VIEWS FOR WRC-23 AGENDA ITEM 1.6</dc:title>
  <dc:subject/>
  <dc:creator>Editor</dc:creator>
  <cp:keywords/>
  <dc:description>OK MAMP</dc:description>
  <cp:lastModifiedBy>USA</cp:lastModifiedBy>
  <cp:revision>5</cp:revision>
  <cp:lastPrinted>1999-10-11T18:56:00Z</cp:lastPrinted>
  <dcterms:created xsi:type="dcterms:W3CDTF">2022-10-05T17:59:00Z</dcterms:created>
  <dcterms:modified xsi:type="dcterms:W3CDTF">2022-10-06T18:46:00Z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0x0101001E832F71E587924593978BA167D3C417</vt:lpwstr>
  </property>
  <property fmtid="{D5CDD505-2E9C-101B-9397-08002B2CF9AE}" pid="3" name="_dlc_DocIdItemGuid">
    <vt:lpwstr>0a08233a-ec3c-43bd-b3d2-3cfab50636f9</vt:lpwstr>
  </property>
</Properties>
</file>